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EC0" w:rsidRPr="00FC7EC0" w:rsidRDefault="00FC7EC0" w:rsidP="00FC7EC0">
      <w:pPr>
        <w:pStyle w:val="NormalWeb"/>
        <w:spacing w:before="567" w:beforeAutospacing="0" w:after="0" w:afterAutospacing="0"/>
        <w:ind w:left="680"/>
        <w:rPr>
          <w:rFonts w:ascii="Arial" w:hAnsi="Arial" w:cs="Arial"/>
          <w:sz w:val="20"/>
          <w:szCs w:val="20"/>
        </w:rPr>
      </w:pPr>
      <w:bookmarkStart w:id="0" w:name="_GoBack"/>
      <w:r w:rsidRPr="00FC7EC0">
        <w:rPr>
          <w:rFonts w:ascii="Arial" w:hAnsi="Arial" w:cs="Arial"/>
          <w:sz w:val="20"/>
          <w:szCs w:val="20"/>
        </w:rPr>
        <w:t>EMI n° 00080/2021 MRE MTP</w:t>
      </w:r>
    </w:p>
    <w:p w:rsidR="00FC7EC0" w:rsidRPr="00FC7EC0" w:rsidRDefault="00FC7EC0" w:rsidP="00FC7EC0">
      <w:pPr>
        <w:pStyle w:val="NormalWeb"/>
        <w:rPr>
          <w:rFonts w:ascii="Arial" w:hAnsi="Arial" w:cs="Arial"/>
          <w:sz w:val="20"/>
          <w:szCs w:val="20"/>
        </w:rPr>
      </w:pPr>
      <w:r w:rsidRPr="00FC7EC0">
        <w:rPr>
          <w:rFonts w:ascii="Arial" w:hAnsi="Arial" w:cs="Arial"/>
          <w:sz w:val="20"/>
          <w:szCs w:val="20"/>
        </w:rPr>
        <w:t> </w:t>
      </w:r>
    </w:p>
    <w:p w:rsidR="00FC7EC0" w:rsidRPr="00FC7EC0" w:rsidRDefault="00FC7EC0" w:rsidP="00FC7EC0">
      <w:pPr>
        <w:pStyle w:val="NormalWeb"/>
        <w:spacing w:after="1701" w:afterAutospacing="0"/>
        <w:jc w:val="right"/>
        <w:rPr>
          <w:rFonts w:ascii="Arial" w:hAnsi="Arial" w:cs="Arial"/>
          <w:sz w:val="20"/>
          <w:szCs w:val="20"/>
        </w:rPr>
      </w:pPr>
      <w:r w:rsidRPr="00FC7EC0">
        <w:rPr>
          <w:rFonts w:ascii="Arial" w:hAnsi="Arial" w:cs="Arial"/>
          <w:sz w:val="20"/>
          <w:szCs w:val="20"/>
        </w:rPr>
        <w:t xml:space="preserve">Brasília, 25 de </w:t>
      </w:r>
      <w:proofErr w:type="gramStart"/>
      <w:r w:rsidRPr="00FC7EC0">
        <w:rPr>
          <w:rFonts w:ascii="Arial" w:hAnsi="Arial" w:cs="Arial"/>
          <w:sz w:val="20"/>
          <w:szCs w:val="20"/>
        </w:rPr>
        <w:t>Outubro</w:t>
      </w:r>
      <w:proofErr w:type="gramEnd"/>
      <w:r w:rsidRPr="00FC7EC0">
        <w:rPr>
          <w:rFonts w:ascii="Arial" w:hAnsi="Arial" w:cs="Arial"/>
          <w:sz w:val="20"/>
          <w:szCs w:val="20"/>
        </w:rPr>
        <w:t xml:space="preserve"> de 2021.</w:t>
      </w:r>
    </w:p>
    <w:p w:rsidR="00FC7EC0" w:rsidRPr="00FC7EC0" w:rsidRDefault="00FC7EC0" w:rsidP="00FC7EC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FC7EC0">
        <w:rPr>
          <w:rFonts w:ascii="Arial" w:hAnsi="Arial" w:cs="Arial"/>
          <w:sz w:val="20"/>
          <w:szCs w:val="20"/>
        </w:rPr>
        <w:t xml:space="preserve">                    </w:t>
      </w:r>
      <w:proofErr w:type="gramStart"/>
      <w:r w:rsidRPr="00FC7EC0">
        <w:rPr>
          <w:rFonts w:ascii="Arial" w:hAnsi="Arial" w:cs="Arial"/>
          <w:sz w:val="20"/>
          <w:szCs w:val="20"/>
        </w:rPr>
        <w:t>Senhor Presidente</w:t>
      </w:r>
      <w:proofErr w:type="gramEnd"/>
      <w:r w:rsidRPr="00FC7EC0">
        <w:rPr>
          <w:rFonts w:ascii="Arial" w:hAnsi="Arial" w:cs="Arial"/>
          <w:sz w:val="20"/>
          <w:szCs w:val="20"/>
        </w:rPr>
        <w:t xml:space="preserve"> da República, </w:t>
      </w:r>
    </w:p>
    <w:p w:rsidR="00FC7EC0" w:rsidRPr="00FC7EC0" w:rsidRDefault="00FC7EC0" w:rsidP="00FC7EC0">
      <w:pPr>
        <w:pStyle w:val="Corpodetexto"/>
        <w:spacing w:after="200" w:afterAutospacing="0"/>
        <w:jc w:val="both"/>
        <w:rPr>
          <w:rFonts w:ascii="Arial" w:hAnsi="Arial" w:cs="Arial"/>
          <w:sz w:val="20"/>
          <w:szCs w:val="20"/>
        </w:rPr>
      </w:pPr>
      <w:r w:rsidRPr="00FC7EC0">
        <w:rPr>
          <w:rFonts w:ascii="Arial" w:hAnsi="Arial" w:cs="Arial"/>
          <w:sz w:val="20"/>
          <w:szCs w:val="20"/>
        </w:rPr>
        <w:t>       </w:t>
      </w:r>
    </w:p>
    <w:p w:rsidR="00FC7EC0" w:rsidRPr="00FC7EC0" w:rsidRDefault="00FC7EC0" w:rsidP="00FC7EC0">
      <w:pPr>
        <w:pStyle w:val="textbody"/>
        <w:spacing w:after="200" w:afterAutospacing="0"/>
        <w:ind w:firstLine="1134"/>
        <w:jc w:val="both"/>
        <w:rPr>
          <w:rFonts w:ascii="Arial" w:hAnsi="Arial" w:cs="Arial"/>
          <w:sz w:val="20"/>
          <w:szCs w:val="20"/>
        </w:rPr>
      </w:pPr>
      <w:r w:rsidRPr="00FC7EC0">
        <w:rPr>
          <w:rFonts w:ascii="Arial" w:hAnsi="Arial" w:cs="Arial"/>
          <w:sz w:val="20"/>
          <w:szCs w:val="20"/>
        </w:rPr>
        <w:t>Submetemos à sua elevada consideração, para posterior encaminhamento ao Congresso Nacional, o anexo projeto de Mensagem, que encaminha o texto da Convenção Multilateral de Segurança Social da Comunidade dos Países de Língua Portuguesa - CPLP, celebrado em 24 de julho de 2015, em Díli, Timor-Leste, por ocasião da XX Conferência de Ministros da CPLP, pela República Federativa do Brasil, República de Cabo Verde, República Democrática de São Tomé e Príncipe, República de Moçambique e República Portuguesa.</w:t>
      </w:r>
    </w:p>
    <w:p w:rsidR="00FC7EC0" w:rsidRPr="00FC7EC0" w:rsidRDefault="00FC7EC0" w:rsidP="00FC7EC0">
      <w:pPr>
        <w:pStyle w:val="textbody"/>
        <w:spacing w:after="200" w:afterAutospacing="0"/>
        <w:jc w:val="both"/>
        <w:rPr>
          <w:rFonts w:ascii="Arial" w:hAnsi="Arial" w:cs="Arial"/>
          <w:sz w:val="20"/>
          <w:szCs w:val="20"/>
        </w:rPr>
      </w:pPr>
      <w:r w:rsidRPr="00FC7EC0">
        <w:rPr>
          <w:rFonts w:ascii="Arial" w:hAnsi="Arial" w:cs="Arial"/>
          <w:sz w:val="20"/>
          <w:szCs w:val="20"/>
        </w:rPr>
        <w:t>2.                O principal objetivo da Convenção Multilateral de Segurança Social da Comunidade dos Países de Língua Portuguesa - CPLP é garantir o direito à Previdência Social previsto na legislação dos países, por meio de um arcabouço legal comum quanto às obrigações e aos direitos previdenciários. A partir de sua vigência, o tempo de contribuição em um ou mais países é considerado tempo de contribuição no Brasil e nos demais Estados Partes, de tal forma que gere benefícios em todos os países que são partes no acordo, proporcionalmente ao tempo de contribuição em cada um deles. Dessa forma, a Convenção é um passo fundamental para a proteção dos trabalhadores que migram entre os países da CPLP, comunidade que possui uma população de mais de 250 milhões de habitantes.</w:t>
      </w:r>
    </w:p>
    <w:p w:rsidR="00FC7EC0" w:rsidRPr="00FC7EC0" w:rsidRDefault="00FC7EC0" w:rsidP="00FC7EC0">
      <w:pPr>
        <w:pStyle w:val="textbody"/>
        <w:spacing w:after="200" w:afterAutospacing="0"/>
        <w:jc w:val="both"/>
        <w:rPr>
          <w:rFonts w:ascii="Arial" w:hAnsi="Arial" w:cs="Arial"/>
          <w:sz w:val="20"/>
          <w:szCs w:val="20"/>
        </w:rPr>
      </w:pPr>
      <w:r w:rsidRPr="00FC7EC0">
        <w:rPr>
          <w:rFonts w:ascii="Arial" w:hAnsi="Arial" w:cs="Arial"/>
          <w:sz w:val="20"/>
          <w:szCs w:val="20"/>
        </w:rPr>
        <w:t>3.                A Convenção Multilateral de Segurança Social da Comunidade dos Países de Língua Portuguesa - CPLP aplica-se às prestações referentes às eventualidades de invalidez, velhice e morte previstas nas legislações de cada Estado-membro.</w:t>
      </w:r>
    </w:p>
    <w:p w:rsidR="00FC7EC0" w:rsidRPr="00FC7EC0" w:rsidRDefault="00FC7EC0" w:rsidP="00FC7EC0">
      <w:pPr>
        <w:pStyle w:val="textbody"/>
        <w:spacing w:after="200" w:afterAutospacing="0"/>
        <w:jc w:val="both"/>
        <w:rPr>
          <w:rFonts w:ascii="Arial" w:hAnsi="Arial" w:cs="Arial"/>
          <w:sz w:val="20"/>
          <w:szCs w:val="20"/>
        </w:rPr>
      </w:pPr>
      <w:r w:rsidRPr="00FC7EC0">
        <w:rPr>
          <w:rFonts w:ascii="Arial" w:hAnsi="Arial" w:cs="Arial"/>
          <w:sz w:val="20"/>
          <w:szCs w:val="20"/>
        </w:rPr>
        <w:t>4.                Os Governos de Angola, Guiné-Bissau, Guiné Equatorial e Timor-Leste não puderam, por questões de ajuste à sua legislação interna, participar da assinatura da Convenção nesse momento, tendo, no entanto, sinalizado com a possibilidade de adesão futura ao instrumento.</w:t>
      </w:r>
    </w:p>
    <w:p w:rsidR="00FC7EC0" w:rsidRPr="00FC7EC0" w:rsidRDefault="00FC7EC0" w:rsidP="00FC7EC0">
      <w:pPr>
        <w:pStyle w:val="textbody"/>
        <w:spacing w:after="200" w:afterAutospacing="0"/>
        <w:jc w:val="both"/>
        <w:rPr>
          <w:rFonts w:ascii="Arial" w:hAnsi="Arial" w:cs="Arial"/>
          <w:sz w:val="20"/>
          <w:szCs w:val="20"/>
        </w:rPr>
      </w:pPr>
      <w:r w:rsidRPr="00FC7EC0">
        <w:rPr>
          <w:rFonts w:ascii="Arial" w:hAnsi="Arial" w:cs="Arial"/>
          <w:sz w:val="20"/>
          <w:szCs w:val="20"/>
        </w:rPr>
        <w:t>5.               </w:t>
      </w:r>
      <w:proofErr w:type="gramStart"/>
      <w:r w:rsidRPr="00FC7EC0">
        <w:rPr>
          <w:rFonts w:ascii="Arial" w:hAnsi="Arial" w:cs="Arial"/>
          <w:sz w:val="20"/>
          <w:szCs w:val="20"/>
        </w:rPr>
        <w:t> À</w:t>
      </w:r>
      <w:proofErr w:type="gramEnd"/>
      <w:r w:rsidRPr="00FC7EC0">
        <w:rPr>
          <w:rFonts w:ascii="Arial" w:hAnsi="Arial" w:cs="Arial"/>
          <w:sz w:val="20"/>
          <w:szCs w:val="20"/>
        </w:rPr>
        <w:t xml:space="preserve"> luz do exposto e com vistas ao encaminhamento do assunto à apreciação do Congresso Nacional, em conformidade com o Artigo 84, inciso VIII, combinado com o Artigo 49, inciso I da Constituição Federal, submetemos-lhe o anexo projeto de Mensagem, acompanhado de cópias autênticas da Convenção.</w:t>
      </w:r>
    </w:p>
    <w:p w:rsidR="00FC7EC0" w:rsidRPr="00FC7EC0" w:rsidRDefault="00FC7EC0" w:rsidP="00FC7EC0">
      <w:pPr>
        <w:pStyle w:val="NormalWeb"/>
        <w:rPr>
          <w:rFonts w:ascii="Arial" w:hAnsi="Arial" w:cs="Arial"/>
          <w:sz w:val="20"/>
          <w:szCs w:val="20"/>
        </w:rPr>
      </w:pPr>
      <w:r w:rsidRPr="00FC7EC0">
        <w:rPr>
          <w:rFonts w:ascii="Arial" w:hAnsi="Arial" w:cs="Arial"/>
          <w:sz w:val="20"/>
          <w:szCs w:val="20"/>
        </w:rPr>
        <w:t>                   Respeitosamente,</w:t>
      </w:r>
    </w:p>
    <w:p w:rsidR="00FC7EC0" w:rsidRPr="00FC7EC0" w:rsidRDefault="00FC7EC0" w:rsidP="00FC7EC0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C7EC0">
        <w:rPr>
          <w:rFonts w:ascii="Arial" w:hAnsi="Arial" w:cs="Arial"/>
          <w:sz w:val="20"/>
          <w:szCs w:val="20"/>
        </w:rPr>
        <w:t> </w:t>
      </w:r>
    </w:p>
    <w:p w:rsidR="001A1CE6" w:rsidRPr="00FC7EC0" w:rsidRDefault="00FC7EC0" w:rsidP="00FC7EC0">
      <w:pPr>
        <w:pStyle w:val="NormalWeb"/>
        <w:jc w:val="center"/>
        <w:rPr>
          <w:rFonts w:ascii="Arial" w:hAnsi="Arial" w:cs="Arial"/>
          <w:sz w:val="20"/>
          <w:szCs w:val="20"/>
        </w:rPr>
      </w:pPr>
      <w:r w:rsidRPr="00FC7EC0">
        <w:rPr>
          <w:rFonts w:ascii="Arial" w:hAnsi="Arial" w:cs="Arial"/>
          <w:b/>
          <w:bCs/>
          <w:sz w:val="20"/>
          <w:szCs w:val="20"/>
        </w:rPr>
        <w:t xml:space="preserve"> </w:t>
      </w:r>
      <w:r w:rsidR="001A1CE6" w:rsidRPr="00FC7EC0">
        <w:rPr>
          <w:rFonts w:ascii="Arial" w:hAnsi="Arial" w:cs="Arial"/>
          <w:b/>
          <w:bCs/>
          <w:sz w:val="20"/>
          <w:szCs w:val="20"/>
        </w:rPr>
        <w:t>Carlos Alberto Franco França</w:t>
      </w:r>
      <w:r w:rsidR="001A1CE6" w:rsidRPr="00FC7EC0">
        <w:rPr>
          <w:rFonts w:ascii="Arial" w:hAnsi="Arial" w:cs="Arial"/>
          <w:b/>
          <w:bCs/>
          <w:sz w:val="20"/>
          <w:szCs w:val="20"/>
        </w:rPr>
        <w:br/>
      </w:r>
      <w:r w:rsidR="001A1CE6" w:rsidRPr="00FC7EC0">
        <w:rPr>
          <w:rFonts w:ascii="Arial" w:hAnsi="Arial" w:cs="Arial"/>
          <w:sz w:val="20"/>
          <w:szCs w:val="20"/>
        </w:rPr>
        <w:t>Ministro de Estado das Relações Exteriores</w:t>
      </w:r>
    </w:p>
    <w:p w:rsidR="00FC7EC0" w:rsidRPr="00FC7EC0" w:rsidRDefault="00FC7EC0" w:rsidP="00FC7EC0">
      <w:pPr>
        <w:pStyle w:val="NormalWeb"/>
        <w:jc w:val="center"/>
        <w:rPr>
          <w:rFonts w:ascii="Arial" w:hAnsi="Arial" w:cs="Arial"/>
          <w:sz w:val="20"/>
          <w:szCs w:val="20"/>
        </w:rPr>
      </w:pPr>
      <w:proofErr w:type="spellStart"/>
      <w:r w:rsidRPr="00FC7EC0">
        <w:rPr>
          <w:rFonts w:ascii="Arial" w:hAnsi="Arial" w:cs="Arial"/>
          <w:b/>
          <w:bCs/>
          <w:sz w:val="20"/>
          <w:szCs w:val="20"/>
        </w:rPr>
        <w:lastRenderedPageBreak/>
        <w:t>Onyx</w:t>
      </w:r>
      <w:proofErr w:type="spellEnd"/>
      <w:r w:rsidRPr="00FC7EC0">
        <w:rPr>
          <w:rFonts w:ascii="Arial" w:hAnsi="Arial" w:cs="Arial"/>
          <w:b/>
          <w:bCs/>
          <w:sz w:val="20"/>
          <w:szCs w:val="20"/>
        </w:rPr>
        <w:t xml:space="preserve"> Dornelles </w:t>
      </w:r>
      <w:proofErr w:type="spellStart"/>
      <w:r w:rsidRPr="00FC7EC0">
        <w:rPr>
          <w:rFonts w:ascii="Arial" w:hAnsi="Arial" w:cs="Arial"/>
          <w:b/>
          <w:bCs/>
          <w:sz w:val="20"/>
          <w:szCs w:val="20"/>
        </w:rPr>
        <w:t>Lorenzoni</w:t>
      </w:r>
      <w:proofErr w:type="spellEnd"/>
      <w:r w:rsidRPr="00FC7EC0">
        <w:rPr>
          <w:rFonts w:ascii="Arial" w:hAnsi="Arial" w:cs="Arial"/>
          <w:b/>
          <w:bCs/>
          <w:sz w:val="20"/>
          <w:szCs w:val="20"/>
        </w:rPr>
        <w:br/>
      </w:r>
      <w:r w:rsidRPr="00FC7EC0">
        <w:rPr>
          <w:rFonts w:ascii="Arial" w:hAnsi="Arial" w:cs="Arial"/>
          <w:sz w:val="20"/>
          <w:szCs w:val="20"/>
        </w:rPr>
        <w:t>Ministro de Estado do Trabalho e Previdência</w:t>
      </w:r>
      <w:bookmarkEnd w:id="0"/>
    </w:p>
    <w:sectPr w:rsidR="00FC7EC0" w:rsidRPr="00FC7E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66880"/>
    <w:multiLevelType w:val="multilevel"/>
    <w:tmpl w:val="87C0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9D4BD2"/>
    <w:multiLevelType w:val="multilevel"/>
    <w:tmpl w:val="DC880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D53F43"/>
    <w:multiLevelType w:val="multilevel"/>
    <w:tmpl w:val="7CF0A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D719D8"/>
    <w:multiLevelType w:val="multilevel"/>
    <w:tmpl w:val="50A40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69"/>
    <w:rsid w:val="0010497D"/>
    <w:rsid w:val="0015507E"/>
    <w:rsid w:val="00162179"/>
    <w:rsid w:val="001A1CE6"/>
    <w:rsid w:val="001A773E"/>
    <w:rsid w:val="003F1F0B"/>
    <w:rsid w:val="00660A7B"/>
    <w:rsid w:val="006D7AA7"/>
    <w:rsid w:val="00740583"/>
    <w:rsid w:val="00747068"/>
    <w:rsid w:val="007B22C6"/>
    <w:rsid w:val="007D0710"/>
    <w:rsid w:val="007E4CDB"/>
    <w:rsid w:val="0087778A"/>
    <w:rsid w:val="008C0C84"/>
    <w:rsid w:val="00A57566"/>
    <w:rsid w:val="00B04B41"/>
    <w:rsid w:val="00BB31AB"/>
    <w:rsid w:val="00BD2069"/>
    <w:rsid w:val="00BE2F80"/>
    <w:rsid w:val="00CD232F"/>
    <w:rsid w:val="00F82EED"/>
    <w:rsid w:val="00FC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EC3BC"/>
  <w15:chartTrackingRefBased/>
  <w15:docId w15:val="{50DAAFAE-951A-4998-B31A-DCBB1C0E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2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rsid w:val="00BD2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D2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D206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D20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14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14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55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49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20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75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25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519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111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3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812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92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7068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2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1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1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0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54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1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50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72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5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7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38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50329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8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8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97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82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332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6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7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18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0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6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52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329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24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2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1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5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34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322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7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68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120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572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645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9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74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081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1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07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383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67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76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1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11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64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17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901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272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655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9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806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6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3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30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03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9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3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0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35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4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49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979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277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5180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960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4845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360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5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0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4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58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7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85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2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9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98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97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3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2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1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8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1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53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68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7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9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15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63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63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92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Jussimara Campos Matsumoto Miranda</dc:creator>
  <cp:keywords/>
  <dc:description/>
  <cp:lastModifiedBy>Jussimara Campos Matsumoto Miranda</cp:lastModifiedBy>
  <cp:revision>2</cp:revision>
  <dcterms:created xsi:type="dcterms:W3CDTF">2024-02-05T15:44:00Z</dcterms:created>
  <dcterms:modified xsi:type="dcterms:W3CDTF">2024-02-05T15:44:00Z</dcterms:modified>
</cp:coreProperties>
</file>