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3956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480" w:after="240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</w:rPr>
      </w:pPr>
      <w:bookmarkStart w:id="0" w:name="_GoBack"/>
      <w:r w:rsidRPr="00A828A9">
        <w:rPr>
          <w:rFonts w:ascii="Arial" w:eastAsia="Times New Roman" w:hAnsi="Arial" w:cs="Arial"/>
          <w:color w:val="212529"/>
          <w:kern w:val="36"/>
          <w:sz w:val="20"/>
          <w:szCs w:val="20"/>
        </w:rPr>
        <w:t xml:space="preserve">Decreto nº 46.912, de 29 de </w:t>
      </w:r>
      <w:proofErr w:type="gramStart"/>
      <w:r w:rsidRPr="00A828A9">
        <w:rPr>
          <w:rFonts w:ascii="Arial" w:eastAsia="Times New Roman" w:hAnsi="Arial" w:cs="Arial"/>
          <w:color w:val="212529"/>
          <w:kern w:val="36"/>
          <w:sz w:val="20"/>
          <w:szCs w:val="20"/>
        </w:rPr>
        <w:t>Setembro</w:t>
      </w:r>
      <w:proofErr w:type="gramEnd"/>
      <w:r w:rsidRPr="00A828A9">
        <w:rPr>
          <w:rFonts w:ascii="Arial" w:eastAsia="Times New Roman" w:hAnsi="Arial" w:cs="Arial"/>
          <w:color w:val="212529"/>
          <w:kern w:val="36"/>
          <w:sz w:val="20"/>
          <w:szCs w:val="20"/>
        </w:rPr>
        <w:t xml:space="preserve"> de 1959</w:t>
      </w:r>
    </w:p>
    <w:p w14:paraId="62018603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Aprova o Regimento do Serviço de Alimentação da Previdência Social e dá outras providências.</w:t>
      </w:r>
    </w:p>
    <w:p w14:paraId="6F7EFEF9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(Publicado no Diário Oficial de 30 de setembro e republicado no de 21 de dezembro de 1959 - Seção I)</w:t>
      </w:r>
    </w:p>
    <w:p w14:paraId="76088725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RETIFICAÇÃO</w:t>
      </w:r>
    </w:p>
    <w:p w14:paraId="40359DD6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17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f,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créditos adicionais e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créditos adicionais e ...</w:t>
      </w:r>
    </w:p>
    <w:p w14:paraId="63F4FD45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19 § 1º,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respectivos Presidente bem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respectivos Presidentes bem ...</w:t>
      </w:r>
    </w:p>
    <w:p w14:paraId="48A53ACC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artigo 23,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a,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Organização e coordenação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Organização e Coordenação ...</w:t>
      </w:r>
    </w:p>
    <w:p w14:paraId="05CD922F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artigo 37,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servidores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especializadso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para fins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servidores especializados para fins ...</w:t>
      </w:r>
    </w:p>
    <w:p w14:paraId="3A6DC208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75,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A, número 2,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em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articulacção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com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em articulação com ...</w:t>
      </w:r>
    </w:p>
    <w:p w14:paraId="1FB98626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91,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A, número 4,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do orçamento para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do orçamento para ...</w:t>
      </w:r>
    </w:p>
    <w:p w14:paraId="2B5C2018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102,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tem for finalidade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tem por finalidade ...</w:t>
      </w:r>
    </w:p>
    <w:p w14:paraId="08480CB8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104,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A, número 6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junto ao enfermos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junto aos enfermos ...</w:t>
      </w:r>
    </w:p>
    <w:p w14:paraId="4F1C93B5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112, alínea A, número 6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dos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questionáris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dos questionários ...</w:t>
      </w:r>
    </w:p>
    <w:p w14:paraId="165B6EAF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112,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B, número 6,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caráter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urgenal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;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caráter urgente;</w:t>
      </w:r>
    </w:p>
    <w:p w14:paraId="4CB1E094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115,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alíena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C, número 2,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retiradas por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 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realizadas por ...</w:t>
      </w:r>
    </w:p>
    <w:p w14:paraId="5F015FA9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139, incluir os números 3 a 10 que, por incorreção, vêm abaixo do número 18 do Art. 144.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No Título VI, Capítulo IV, a fim de guardar a sucessão dos artigos, deve-se ler logo em seguida ao Art. 139 os de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ns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. 140 e seus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ítens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1 a 7, e 141 e seus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ítens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1 a11, os quais por incorreção estão publicados entre os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ítens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18 e 19 do art. 144.</w:t>
      </w:r>
    </w:p>
    <w:p w14:paraId="52BFC4B0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No Art. 144,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ítem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3,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ou prorrogar o período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noraml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de trabalhos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ou prorrogar o período normal de trabalho ...</w:t>
      </w:r>
    </w:p>
    <w:p w14:paraId="21E97C2A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144, item 4,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aos servidores da respectiva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aos servidores da respectiva ...</w:t>
      </w:r>
    </w:p>
    <w:p w14:paraId="154D2423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144, item 10,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salário-família ao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ao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 xml:space="preserve"> pessoal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salário família ao pessoal ...</w:t>
      </w:r>
    </w:p>
    <w:p w14:paraId="4B701420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144, item 14,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submetendo-se à aprovação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submetendo-os à aprovação ...</w:t>
      </w:r>
    </w:p>
    <w:p w14:paraId="25C0FF6C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161, § 2º,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justificava é considerada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justificativa e considerada ...</w:t>
      </w:r>
    </w:p>
    <w:p w14:paraId="78138602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168,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imunidade tributário, isenções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imunidade tributária, isenções ...</w:t>
      </w:r>
    </w:p>
    <w:p w14:paraId="2008E846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169,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mercadorias em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trânsio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,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mercadorias em trânsito, ...</w:t>
      </w:r>
    </w:p>
    <w:p w14:paraId="10C38E7D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No Art. 182,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ONDE SE LÊ: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 xml:space="preserve">... regional de </w:t>
      </w:r>
      <w:proofErr w:type="spellStart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categoriaespecial</w:t>
      </w:r>
      <w:proofErr w:type="spellEnd"/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, ...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LEIA-SE:</w:t>
      </w: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br/>
        <w:t>... regional de categoria especial; ...</w:t>
      </w:r>
    </w:p>
    <w:p w14:paraId="393E08B5" w14:textId="77777777" w:rsidR="00A828A9" w:rsidRPr="00A828A9" w:rsidRDefault="00A828A9" w:rsidP="00A828A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 </w:t>
      </w:r>
    </w:p>
    <w:p w14:paraId="1BE0E38B" w14:textId="77777777" w:rsidR="00A828A9" w:rsidRPr="00A828A9" w:rsidRDefault="00A828A9" w:rsidP="00A828A9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</w:p>
    <w:p w14:paraId="1D861288" w14:textId="77777777" w:rsidR="00A828A9" w:rsidRPr="00A828A9" w:rsidRDefault="00A828A9" w:rsidP="00A828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12529"/>
          <w:kern w:val="0"/>
          <w:sz w:val="20"/>
          <w:szCs w:val="20"/>
        </w:rPr>
      </w:pPr>
      <w:r w:rsidRPr="00A828A9">
        <w:rPr>
          <w:rFonts w:ascii="Arial" w:eastAsia="Times New Roman" w:hAnsi="Arial" w:cs="Arial"/>
          <w:color w:val="212529"/>
          <w:kern w:val="0"/>
          <w:sz w:val="20"/>
          <w:szCs w:val="20"/>
        </w:rPr>
        <w:t>Este texto não substitui o original publicado no Diário Oficial da União - Seção 1 de 20/01/1960</w:t>
      </w:r>
    </w:p>
    <w:bookmarkEnd w:id="0"/>
    <w:p w14:paraId="1C4FD9B5" w14:textId="77777777" w:rsidR="0076550C" w:rsidRPr="00A828A9" w:rsidRDefault="0076550C" w:rsidP="00A828A9">
      <w:pPr>
        <w:rPr>
          <w:rFonts w:ascii="Arial" w:hAnsi="Arial" w:cs="Arial"/>
          <w:sz w:val="20"/>
          <w:szCs w:val="20"/>
        </w:rPr>
      </w:pPr>
    </w:p>
    <w:sectPr w:rsidR="0076550C" w:rsidRPr="00A828A9" w:rsidSect="001D3148">
      <w:pgSz w:w="16840" w:h="11907" w:orient="landscape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48"/>
    <w:rsid w:val="001D3148"/>
    <w:rsid w:val="0030544A"/>
    <w:rsid w:val="0076550C"/>
    <w:rsid w:val="009A597D"/>
    <w:rsid w:val="00A52BCB"/>
    <w:rsid w:val="00A828A9"/>
    <w:rsid w:val="00B1689D"/>
    <w:rsid w:val="00C869DF"/>
    <w:rsid w:val="00D24BD8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A7C56"/>
  <w15:chartTrackingRefBased/>
  <w15:docId w15:val="{4F051938-327B-4362-95C7-2250E9D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MS Mincho"/>
      <w:kern w:val="2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C869D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Char">
    <w:name w:val="Título Char"/>
    <w:basedOn w:val="Fontepargpadro1"/>
    <w:rPr>
      <w:rFonts w:ascii="Calibri Light" w:eastAsia="Times New Roman" w:hAnsi="Calibri Light"/>
      <w:b/>
      <w:bCs/>
      <w:kern w:val="2"/>
      <w:sz w:val="32"/>
      <w:szCs w:val="32"/>
    </w:rPr>
  </w:style>
  <w:style w:type="character" w:customStyle="1" w:styleId="SubttuloChar">
    <w:name w:val="Subtítulo Char"/>
    <w:basedOn w:val="Fontepargpadro1"/>
    <w:rPr>
      <w:rFonts w:ascii="Calibri Light" w:eastAsia="Times New Roman" w:hAnsi="Calibri Ligh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MS Mincho" w:eastAsia="Times New Roman" w:hAnsi="MS Mincho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customStyle="1" w:styleId="Textbody">
    <w:name w:val="Text body"/>
    <w:basedOn w:val="Normal"/>
    <w:pPr>
      <w:spacing w:after="120"/>
    </w:pPr>
    <w:rPr>
      <w:rFonts w:eastAsia="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</w:style>
  <w:style w:type="paragraph" w:customStyle="1" w:styleId="Tabelanormal1">
    <w:name w:val="Tabela normal1"/>
    <w:pPr>
      <w:suppressAutoHyphens/>
      <w:spacing w:after="160" w:line="256" w:lineRule="auto"/>
    </w:pPr>
    <w:rPr>
      <w:rFonts w:ascii="Calibri" w:hAnsi="Calibri"/>
      <w:kern w:val="2"/>
      <w:sz w:val="22"/>
      <w:szCs w:val="22"/>
    </w:rPr>
  </w:style>
  <w:style w:type="paragraph" w:styleId="Ttulo">
    <w:name w:val="Title"/>
    <w:basedOn w:val="Normal"/>
    <w:next w:val="Textbody"/>
    <w:qFormat/>
    <w:pPr>
      <w:keepNext/>
      <w:spacing w:before="240" w:after="120"/>
    </w:pPr>
    <w:rPr>
      <w:rFonts w:ascii="MS Mincho" w:eastAsia="Times New Roman" w:hAnsi="MS Mincho" w:cs="Arial"/>
      <w:sz w:val="28"/>
      <w:szCs w:val="28"/>
    </w:rPr>
  </w:style>
  <w:style w:type="paragraph" w:styleId="Subttulo">
    <w:name w:val="Subtitle"/>
    <w:basedOn w:val="Ttulo"/>
    <w:next w:val="Textbody"/>
    <w:qFormat/>
    <w:pPr>
      <w:jc w:val="center"/>
    </w:pPr>
    <w:rPr>
      <w:i/>
      <w:iCs/>
    </w:rPr>
  </w:style>
  <w:style w:type="paragraph" w:customStyle="1" w:styleId="Legenda1">
    <w:name w:val="Legenda1"/>
    <w:basedOn w:val="Normal"/>
    <w:pPr>
      <w:spacing w:before="120" w:after="120"/>
    </w:pPr>
    <w:rPr>
      <w:i/>
      <w:iCs/>
    </w:rPr>
  </w:style>
  <w:style w:type="paragraph" w:customStyle="1" w:styleId="Contedodatabela">
    <w:name w:val="Conteúdo da tabela"/>
    <w:basedOn w:val="Normal"/>
    <w:rPr>
      <w:rFonts w:eastAsia="Times New Roma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1D3148"/>
    <w:pPr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Reviso">
    <w:name w:val="Revision"/>
    <w:hidden/>
    <w:uiPriority w:val="99"/>
    <w:semiHidden/>
    <w:rsid w:val="009A597D"/>
    <w:rPr>
      <w:rFonts w:eastAsia="MS Mincho"/>
      <w:kern w:val="2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E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E23"/>
    <w:rPr>
      <w:rFonts w:ascii="Segoe UI" w:eastAsia="MS Mincho" w:hAnsi="Segoe UI" w:cs="Segoe UI"/>
      <w:kern w:val="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869DF"/>
    <w:rPr>
      <w:b/>
      <w:bCs/>
      <w:kern w:val="36"/>
      <w:sz w:val="48"/>
      <w:szCs w:val="48"/>
    </w:rPr>
  </w:style>
  <w:style w:type="paragraph" w:customStyle="1" w:styleId="ementa">
    <w:name w:val="ementa"/>
    <w:basedOn w:val="Normal"/>
    <w:rsid w:val="00A828A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A828A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431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Marques</dc:creator>
  <cp:keywords/>
  <cp:lastModifiedBy>Edvaldo Luiz da Silva</cp:lastModifiedBy>
  <cp:revision>2</cp:revision>
  <cp:lastPrinted>1900-01-01T03:00:00Z</cp:lastPrinted>
  <dcterms:created xsi:type="dcterms:W3CDTF">2022-02-24T19:48:00Z</dcterms:created>
  <dcterms:modified xsi:type="dcterms:W3CDTF">2022-02-24T19:48:00Z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Georgimar Martiniano de Sousa</vt:lpwstr>
  </property>
</Properties>
</file>