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06C" w:rsidRPr="00CB186F" w:rsidRDefault="00EA706C">
      <w:pPr>
        <w:pStyle w:val="Textbody"/>
        <w:rPr>
          <w:rFonts w:ascii="Arial" w:hAnsi="Arial" w:cs="Arial"/>
          <w:sz w:val="20"/>
          <w:szCs w:val="20"/>
        </w:rPr>
      </w:pPr>
      <w:bookmarkStart w:id="0" w:name="_GoBack"/>
    </w:p>
    <w:p w:rsidR="00EA706C" w:rsidRPr="00CB186F" w:rsidRDefault="0005597C">
      <w:pPr>
        <w:pStyle w:val="Textbody"/>
        <w:spacing w:before="567" w:after="0"/>
        <w:ind w:left="680"/>
        <w:rPr>
          <w:rFonts w:ascii="Arial" w:hAnsi="Arial" w:cs="Arial"/>
          <w:sz w:val="20"/>
          <w:szCs w:val="20"/>
        </w:rPr>
      </w:pPr>
      <w:r w:rsidRPr="00CB186F">
        <w:rPr>
          <w:rFonts w:ascii="Arial" w:hAnsi="Arial" w:cs="Arial"/>
          <w:sz w:val="20"/>
          <w:szCs w:val="20"/>
        </w:rPr>
        <w:t>EM n</w:t>
      </w:r>
      <w:r w:rsidRPr="00CB186F">
        <w:rPr>
          <w:rFonts w:ascii="Arial" w:hAnsi="Arial" w:cs="Arial"/>
          <w:strike/>
          <w:sz w:val="20"/>
          <w:szCs w:val="20"/>
        </w:rPr>
        <w:t>º</w:t>
      </w:r>
      <w:r w:rsidRPr="00CB186F">
        <w:rPr>
          <w:rFonts w:ascii="Arial" w:hAnsi="Arial" w:cs="Arial"/>
          <w:sz w:val="20"/>
          <w:szCs w:val="20"/>
        </w:rPr>
        <w:t xml:space="preserve"> 00089/2024 MPO</w:t>
      </w:r>
    </w:p>
    <w:p w:rsidR="00EA706C" w:rsidRPr="00CB186F" w:rsidRDefault="0005597C">
      <w:pPr>
        <w:pStyle w:val="Textbody"/>
        <w:rPr>
          <w:rFonts w:ascii="Arial" w:hAnsi="Arial" w:cs="Arial"/>
          <w:sz w:val="20"/>
          <w:szCs w:val="20"/>
        </w:rPr>
      </w:pPr>
      <w:r w:rsidRPr="00CB186F">
        <w:rPr>
          <w:rFonts w:ascii="Arial" w:hAnsi="Arial" w:cs="Arial"/>
          <w:sz w:val="20"/>
          <w:szCs w:val="20"/>
        </w:rPr>
        <w:t> </w:t>
      </w:r>
    </w:p>
    <w:p w:rsidR="00EA706C" w:rsidRPr="00CB186F" w:rsidRDefault="0005597C">
      <w:pPr>
        <w:pStyle w:val="PreformattedText"/>
        <w:spacing w:after="1701"/>
        <w:jc w:val="right"/>
        <w:rPr>
          <w:rFonts w:ascii="Arial" w:hAnsi="Arial" w:cs="Arial"/>
        </w:rPr>
      </w:pPr>
      <w:r w:rsidRPr="00CB186F">
        <w:rPr>
          <w:rFonts w:ascii="Arial" w:hAnsi="Arial" w:cs="Arial"/>
        </w:rPr>
        <w:t>Brasília, 9 de Outubro de 2024</w:t>
      </w:r>
    </w:p>
    <w:p w:rsidR="00EA706C" w:rsidRPr="00CB186F" w:rsidRDefault="0005597C">
      <w:pPr>
        <w:pStyle w:val="Textbody"/>
        <w:spacing w:before="113" w:after="567"/>
        <w:ind w:firstLine="1134"/>
        <w:rPr>
          <w:rFonts w:ascii="Arial" w:hAnsi="Arial" w:cs="Arial"/>
          <w:sz w:val="20"/>
          <w:szCs w:val="20"/>
        </w:rPr>
      </w:pPr>
      <w:r w:rsidRPr="00CB186F">
        <w:rPr>
          <w:rFonts w:ascii="Arial" w:hAnsi="Arial" w:cs="Arial"/>
          <w:sz w:val="20"/>
          <w:szCs w:val="20"/>
        </w:rPr>
        <w:t>Senhor Presidente da República,</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1.                Proponho a abertura de crédito suplementar aos Orçamentos Fiscal e da Seguridade Social da União (Lei nº 14.822, de 22 de janeiro de 2024), no valor de R$ 94.339.207,00 (noventa e quatro milhões, trezentos e trinta e nove mil, duzentos e sete reais), em favor de diversos Órgãos do Poder Executivo Federal, e de Operações Oficiais de Crédito, conforme Quadro anexo a esta Exposição de Motivos.</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2.                O crédito em pauta visa à suplementação de programações no orçamento vigente dos mencionados órgãos, com o objetivo de: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a) Presidência da República: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Presidência da República, o pagamento de ajuda de custo para moradia ou auxílio-moradia a Agentes Públicos;</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Empresa Brasil de Comunicação S.A. – EBC, as necessidades de custeio para as contratações vigentes no exercício; 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lastRenderedPageBreak/>
        <w:t>- Fundo de Imprensa Nacional, o pagamento de ajuda de custo para moradia ou auxílio-moradia a Agentes Públicos, decorrente das requisições de pessoal de outras localidades, na forma do Decreto nº 4.004, de 8 de novembro de 2001, já previstas até o encerramento do exercício de 2024;</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b) Ministério da Justiça e Segurança Pública: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Departamento de Polícia Rodoviária Federal, o pagamento de despesas com aparelhamento e modernização operacional; 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Departamento de Polícia Federal, as atividades da Delegacia de Proteção de Pessoas – DPP, como escolta de autoridades e da Presidência, o custeio de atividades da polícia judiciária, a aquisição de suprimentos e investimentos pontuais para viabilizar algumas operações, e o pagamento de despesas de manutenção, contratos terceirizados, e diárias e passagens;</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c) Ministério da Saúde: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Fundo Nacional de Saúde, o atendimento de despesas com a doação à Agência Internacional de Compra de Medicamentos para Países em Desenvolvimento - UNITAID e Aliança Global para Vacinas e Imunização - GAVI, para o cumprimento dos compromissos assumidos de acordo com a Lei nº 12.413, de 31 de maio de 2011, que autoriza a República Federativa do Brasil a efetuar doações a iniciativas internacionais de auxílio ao desenvolvimento;</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d) Ministério da Cultura: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Fundação Cultural Palmares, o pagamento de auxílio-moradia a servidores que foram deslocados para trabalhar na sede do órgão em Brasília/DF;</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lastRenderedPageBreak/>
        <w:t>                    e) Ministério do Meio Ambiente e Mudança do Clima: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Administração Direta, a complementação do auxílio-moradia a agentes públicos;</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f) Ministério do Desenvolvimento Agrário e Agricultura Familiar:</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Companhia Nacional de Abastecimento – CONAB, a viabilização de parcerias e estudos para ampliar o impacto das políticas de abastecimento. Uma estratégia central envolve pesquisas, estudos e acompanhamentos técnicos sobre a produção de alimentos básicos, com ênfase, nessa primeira fase, para o arroz, principalmente nas regiões Norte, Nordeste, Centro-Oeste e no Estado de Minas Gerais. Para tanto, projeta-se o envolvimento de diversos órgãos, incluindo universidades, a exemplo da Universidade Federal de Lavras, que tem um amplo trabalho de resgate de variedades tradicionais de arroz e desenvolve o programa Melhor Arroz;</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g) Ministério do Esporte: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Administração Direta, o pagamento da Contribuição à Agência Internacional Antidoping – WADA e das Contribuições Regulares a Organismos Internacionais de Direito Privado sem Exigência de Programação Específica;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h) Ministério da Defesa: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xml:space="preserve">- Caixa de Construções de Casas para o Pessoal da Marinha – CCCPM, o pagamento da restituição ao Fundo de Compensação de Variações Salariais - FCVS, pela CCCPM, relativa à Amortização e Encargos de Financiamento da Dívida Contratual Interna, tendo em vista a notificação da </w:t>
      </w:r>
      <w:r w:rsidRPr="00CB186F">
        <w:rPr>
          <w:rFonts w:ascii="Arial" w:hAnsi="Arial" w:cs="Arial"/>
          <w:sz w:val="20"/>
          <w:szCs w:val="20"/>
        </w:rPr>
        <w:lastRenderedPageBreak/>
        <w:t>Caixa Econômica Federal - CEF devido à caracterização de contratos de financiamento imobiliário como “novações indevidas”, conforme dados do Cadastro Nacional de Mutuários - CADMUT. O ressarcimento em questão abrange 9 (nove) contratos, anteriormente novados pela CCCPM, junto ao FCVS, com a multiplicidade caracterizada após a novação, a serem devolvidos àquele Fundo, em cumprimento à Resolução nº 472/2022 do Conselho Curador do Fundo de Compensação de Variações Salariais - CCFCVS;</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i) Ministério do Turismo:</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Administração Direta, a complementação de recursos para as agendas celebradas entre o Ministério e as Universidades Federal do Rio Grande do Norte – UFRN e do Rio de Janeiro – UFRJ, visando à melhoria do Turismo, no que se refere às contratações, e a qualificação e certificação de pessoa física e jurídica da cadeia produtiva do turismo;</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j) Ministério do Desenvolvimento e Assistência Social, Família e Combate à Fome: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xml:space="preserve">- Administração Direta, o desenvolvimento do “Prontuário SUAS”, por meio da descentralização de recursos para a Universidade de Brasília – UnB, instrumento cuja implantação viabilizará o registro individualizado dos atendimentos realizados pela rede socioassistencial (atualmente os registros administrativos se limitam ao volume de atendimentos por equipamento/unidade), o que deverá gerar significativos ganhos de informação para o monitoramento e avaliação dos serviços e rede de unidades; bem como a Distribuição de Alimentos a Grupos Populacionais Tradicionais e Específicos e a Famílias em Situação de Insegurança Alimentar </w:t>
      </w:r>
      <w:r w:rsidRPr="00CB186F">
        <w:rPr>
          <w:rFonts w:ascii="Arial" w:hAnsi="Arial" w:cs="Arial"/>
          <w:sz w:val="20"/>
          <w:szCs w:val="20"/>
        </w:rPr>
        <w:lastRenderedPageBreak/>
        <w:t>e Nutricional Advindas de Situações de Emergência ou Calamidade Pública;</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k) Ministério das Cidades:</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Administração Direta, a ajuda de custo para moradia e auxílio-moradia a agentes públicos;</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l) Advocacia-Geral da União:</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Advocacia-Geral da União, a continuidade do pagamento de Ajuda de Custo para Moradia ou Auxílio-Moradia a Agentes Públicos; 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m) Operações Oficiais de Crédito:</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Recursos sob Supervisão do Fundo Nacional de Cultura, a remuneração dos agentes financeiros de financiamento das ações patrocinadas pelo Fundo Setorial do Audiovisual, mediante editais de chamadas públicas.</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3.                O pleito em referência será viabilizado mediante Projeto de Lei, à conta da incorporação de superávit financeiro apurado no balanço patrimonial do exercício de 2023, referente a Recursos Próprios Livres da UO, e de anulação de dotações orçamentárias, observado o disposto no art. 43, § 1º, incisos I e III, da Lei nº 4.320, de 17 de março de 1964, em conformidade com as prescrições do art. 167, inciso V, da Constituição.</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4.                Em relação ao que dispõe o art. 54, § 4º, da Lei nº 14.791, de 29 de dezembro de 2023, Lei de Diretrizes Orçamentárias para 2024, LDO-2024, ressalta-se que a alteração não afeta a obtenção da meta de resultado primário fixada para o corrente exercício, uma vez que: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xml:space="preserve">                    a) R$ 4.000.000,00 (quatro milhões de reais) se referem </w:t>
      </w:r>
      <w:r w:rsidRPr="00CB186F">
        <w:rPr>
          <w:rFonts w:ascii="Arial" w:hAnsi="Arial" w:cs="Arial"/>
          <w:sz w:val="20"/>
          <w:szCs w:val="20"/>
        </w:rPr>
        <w:lastRenderedPageBreak/>
        <w:t>à suplementação de despesas financeiras, à conta da incorporação de superávit financeiro apurado no balanço patrimonial do exercício de 2023, relativo a Recursos Próprios Livres da UO, não consideradas no cálculo da referida meta; e</w:t>
      </w:r>
    </w:p>
    <w:p w:rsidR="00EA706C" w:rsidRPr="00CB186F" w:rsidRDefault="0005597C">
      <w:pPr>
        <w:pStyle w:val="Textbody"/>
        <w:spacing w:after="200"/>
        <w:ind w:firstLine="1134"/>
        <w:jc w:val="both"/>
        <w:rPr>
          <w:rFonts w:ascii="Arial" w:hAnsi="Arial" w:cs="Arial"/>
          <w:sz w:val="20"/>
          <w:szCs w:val="20"/>
        </w:rPr>
      </w:pPr>
      <w:r w:rsidRPr="00CB186F">
        <w:rPr>
          <w:rFonts w:ascii="Arial" w:hAnsi="Arial" w:cs="Arial"/>
          <w:sz w:val="20"/>
          <w:szCs w:val="20"/>
        </w:rPr>
        <w:t>                    b) R$ 90.339.207,00 (noventa milhões, trezentos e trinta e nove mil, duzentos e sete reais), ao remanejamento entre despesas primárias discricionárias, não alterando o respectivo montante.</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5.                Quanto aos limites individualizados para as despesas primárias, vale informar que a alteração em questão está de acordo com o art. 3º da Lei Complementar nº 200, de 30 de agosto de 2023, haja vista que o remanejamento proposto não amplia as dotações orçamentárias sujeitas aos mencionados limites, salientando que parte do crédito, no valor de R$ 4.000.000,00 (quatro milhões de reais), dizem respeito à suplementação de despesas financeiras não consideradas na base de cálculo dos citados limites.</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6.                No que diz respeito ao disposto no art. 167, caput, inciso III, da Constituição Federal, "Regra de Ouro", informa-se que a alteração proposta reduz gastos com investimentos (GND 4) sem a correspondente redução da estimativa de receitas com operações de crédito, afetando negativamente o cumprimento da regra. Contudo, vale esclarecer que não restam mais receitas de operações de crédito condicionadas na LOA-2024, o que afasta a aplicação do disposto no art. 64, § 1º, da LDO-2024, devendo-se observar o disposto no § 2º do referido artigo, o qual dispõe que, após a redução do total de despesas condicionadas na forma prevista no art. 22, § 3º, da LDO-2024, eventual diferença entre as receitas de operações de crédito e as despesas de capital deverá ser adequada até o encerramento do exercício.  </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lastRenderedPageBreak/>
        <w:t>7.                Em atendimento aos §§ 6º e 18 do art. 54 da LDO-2024, seguem, anexos, os demonstrativos de superávit financeiro, utilizado no presente ato, e de desvios de valores cancelados neste crédito que ultrapassam vinte por cento do valor inicialmente estabelecido na Lei Orçamentária de 2024 para as referidas categorias.</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8.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uma vez que os remanejamentos foram decididos com base em projeções de suas possibilidades de dispêndio até o final do exercício.</w:t>
      </w:r>
    </w:p>
    <w:p w:rsidR="00EA706C" w:rsidRPr="00CB186F" w:rsidRDefault="0005597C">
      <w:pPr>
        <w:pStyle w:val="Textbody"/>
        <w:spacing w:after="200"/>
        <w:jc w:val="both"/>
        <w:rPr>
          <w:rFonts w:ascii="Arial" w:hAnsi="Arial" w:cs="Arial"/>
          <w:sz w:val="20"/>
          <w:szCs w:val="20"/>
        </w:rPr>
      </w:pPr>
      <w:r w:rsidRPr="00CB186F">
        <w:rPr>
          <w:rFonts w:ascii="Arial" w:hAnsi="Arial" w:cs="Arial"/>
          <w:sz w:val="20"/>
          <w:szCs w:val="20"/>
        </w:rPr>
        <w:t>9.                Diante do exposto, submeto à sua consideração o anexo Projeto de Lei, que visa efetivar a abertura de crédito suplementar.</w:t>
      </w:r>
    </w:p>
    <w:p w:rsidR="00EA706C" w:rsidRPr="00CB186F" w:rsidRDefault="0005597C">
      <w:pPr>
        <w:pStyle w:val="Textbody"/>
        <w:spacing w:after="1417"/>
        <w:ind w:firstLine="1134"/>
        <w:rPr>
          <w:rFonts w:ascii="Arial" w:hAnsi="Arial" w:cs="Arial"/>
          <w:sz w:val="20"/>
          <w:szCs w:val="20"/>
        </w:rPr>
      </w:pPr>
      <w:r w:rsidRPr="00CB186F">
        <w:rPr>
          <w:rFonts w:ascii="Arial" w:hAnsi="Arial" w:cs="Arial"/>
          <w:sz w:val="20"/>
          <w:szCs w:val="20"/>
        </w:rPr>
        <w:t>Respeitosamente,</w:t>
      </w:r>
    </w:p>
    <w:p w:rsidR="00EA706C" w:rsidRPr="00CB186F" w:rsidRDefault="00EA706C">
      <w:pPr>
        <w:pStyle w:val="Textbody"/>
        <w:spacing w:after="0"/>
        <w:jc w:val="center"/>
        <w:rPr>
          <w:rFonts w:ascii="Arial" w:hAnsi="Arial" w:cs="Arial"/>
          <w:sz w:val="20"/>
          <w:szCs w:val="20"/>
        </w:rPr>
      </w:pPr>
    </w:p>
    <w:p w:rsidR="00EA706C" w:rsidRPr="00CB186F" w:rsidRDefault="0005597C">
      <w:pPr>
        <w:pStyle w:val="Textbody"/>
        <w:rPr>
          <w:rFonts w:ascii="Arial" w:hAnsi="Arial" w:cs="Arial"/>
          <w:sz w:val="20"/>
          <w:szCs w:val="20"/>
        </w:rPr>
      </w:pPr>
      <w:r w:rsidRPr="00CB186F">
        <w:rPr>
          <w:rFonts w:ascii="Arial" w:hAnsi="Arial" w:cs="Arial"/>
          <w:sz w:val="20"/>
          <w:szCs w:val="20"/>
        </w:rPr>
        <w:t> </w:t>
      </w:r>
    </w:p>
    <w:p w:rsidR="00EA706C" w:rsidRPr="00CB186F" w:rsidRDefault="0005597C">
      <w:pPr>
        <w:pStyle w:val="Textbody"/>
        <w:rPr>
          <w:rFonts w:ascii="Arial" w:hAnsi="Arial" w:cs="Arial"/>
          <w:sz w:val="20"/>
          <w:szCs w:val="20"/>
        </w:rPr>
      </w:pPr>
      <w:r w:rsidRPr="00CB186F">
        <w:rPr>
          <w:rFonts w:ascii="Arial" w:hAnsi="Arial" w:cs="Arial"/>
          <w:sz w:val="20"/>
          <w:szCs w:val="20"/>
        </w:rPr>
        <w:t> </w:t>
      </w: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EA706C" w:rsidRPr="00CB186F" w:rsidRDefault="00EA706C">
      <w:pPr>
        <w:pStyle w:val="Standard"/>
        <w:ind w:left="567" w:right="284"/>
        <w:rPr>
          <w:rFonts w:ascii="Arial" w:hAnsi="Arial" w:cs="Arial"/>
          <w:b/>
          <w:sz w:val="20"/>
          <w:szCs w:val="20"/>
        </w:rPr>
      </w:pPr>
    </w:p>
    <w:p w:rsidR="0005597C" w:rsidRPr="00CB186F" w:rsidRDefault="0005597C">
      <w:pPr>
        <w:pStyle w:val="Standard"/>
        <w:ind w:left="567" w:right="284"/>
        <w:rPr>
          <w:rFonts w:ascii="Arial" w:hAnsi="Arial" w:cs="Arial"/>
          <w:b/>
          <w:i/>
          <w:sz w:val="20"/>
          <w:szCs w:val="20"/>
        </w:rPr>
        <w:sectPr w:rsidR="0005597C" w:rsidRPr="00CB186F">
          <w:pgSz w:w="11906" w:h="16838"/>
          <w:pgMar w:top="1134" w:right="1134" w:bottom="1134" w:left="1134" w:header="720" w:footer="720" w:gutter="0"/>
          <w:cols w:space="720"/>
        </w:sectPr>
      </w:pPr>
      <w:r w:rsidRPr="00CB186F">
        <w:rPr>
          <w:rFonts w:ascii="Arial" w:hAnsi="Arial" w:cs="Arial"/>
          <w:b/>
          <w:i/>
          <w:sz w:val="20"/>
          <w:szCs w:val="20"/>
        </w:rPr>
        <w:t>Assinado eletronicamente por: Simone Tebet</w:t>
      </w:r>
    </w:p>
    <w:p w:rsidR="0005597C" w:rsidRPr="00CB186F" w:rsidRDefault="0005597C">
      <w:pPr>
        <w:ind w:right="-1"/>
        <w:jc w:val="center"/>
        <w:rPr>
          <w:rFonts w:ascii="Arial" w:hAnsi="Arial" w:cs="Arial"/>
          <w:sz w:val="20"/>
          <w:szCs w:val="20"/>
        </w:rPr>
      </w:pPr>
      <w:r w:rsidRPr="00CB186F">
        <w:rPr>
          <w:rFonts w:ascii="Arial" w:hAnsi="Arial" w:cs="Arial"/>
          <w:spacing w:val="-3"/>
          <w:sz w:val="20"/>
          <w:szCs w:val="20"/>
        </w:rPr>
        <w:lastRenderedPageBreak/>
        <w:t>QUADRO ANEXO À EXPOSIÇÃO DE MOTIVOS DO MINISTÉRIO DO PLANEJAMENTO E ORÇAMENTO N</w:t>
      </w:r>
      <w:r w:rsidRPr="00CB186F">
        <w:rPr>
          <w:rFonts w:ascii="Arial" w:hAnsi="Arial" w:cs="Arial"/>
          <w:sz w:val="20"/>
          <w:szCs w:val="20"/>
          <w:u w:val="single"/>
          <w:vertAlign w:val="superscript"/>
        </w:rPr>
        <w:t>o</w:t>
      </w:r>
      <w:r w:rsidRPr="00CB186F">
        <w:rPr>
          <w:rFonts w:ascii="Arial" w:hAnsi="Arial" w:cs="Arial"/>
          <w:spacing w:val="-3"/>
          <w:sz w:val="20"/>
          <w:szCs w:val="20"/>
        </w:rPr>
        <w:t xml:space="preserve"> 89, DE 09/10/202</w:t>
      </w:r>
      <w:r w:rsidRPr="00CB186F">
        <w:rPr>
          <w:rFonts w:ascii="Arial" w:hAnsi="Arial" w:cs="Arial"/>
          <w:sz w:val="20"/>
          <w:szCs w:val="20"/>
        </w:rPr>
        <w:t>4</w:t>
      </w:r>
    </w:p>
    <w:p w:rsidR="0005597C" w:rsidRPr="00CB186F" w:rsidRDefault="0005597C">
      <w:pPr>
        <w:jc w:val="right"/>
        <w:rPr>
          <w:rFonts w:ascii="Arial" w:hAnsi="Arial" w:cs="Arial"/>
          <w:sz w:val="20"/>
          <w:szCs w:val="20"/>
        </w:rPr>
      </w:pPr>
    </w:p>
    <w:p w:rsidR="0005597C" w:rsidRPr="00CB186F" w:rsidRDefault="0005597C">
      <w:pPr>
        <w:jc w:val="right"/>
        <w:rPr>
          <w:rFonts w:ascii="Arial" w:hAnsi="Arial" w:cs="Arial"/>
          <w:sz w:val="20"/>
          <w:szCs w:val="20"/>
        </w:rPr>
      </w:pPr>
    </w:p>
    <w:p w:rsidR="0005597C" w:rsidRPr="00CB186F" w:rsidRDefault="0005597C">
      <w:pPr>
        <w:jc w:val="right"/>
        <w:rPr>
          <w:rFonts w:ascii="Arial" w:hAnsi="Arial" w:cs="Arial"/>
          <w:b/>
          <w:bCs/>
          <w:color w:val="000000"/>
          <w:sz w:val="20"/>
          <w:szCs w:val="20"/>
        </w:rPr>
      </w:pPr>
      <w:r w:rsidRPr="00CB186F">
        <w:rPr>
          <w:rFonts w:ascii="Arial" w:hAnsi="Arial" w:cs="Arial"/>
          <w:sz w:val="20"/>
          <w:szCs w:val="20"/>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05597C" w:rsidRPr="00CB186F">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05597C" w:rsidRPr="00CB186F" w:rsidRDefault="0005597C">
            <w:pPr>
              <w:jc w:val="center"/>
              <w:rPr>
                <w:rFonts w:ascii="Arial" w:hAnsi="Arial" w:cs="Arial"/>
                <w:sz w:val="20"/>
                <w:szCs w:val="20"/>
              </w:rPr>
            </w:pPr>
            <w:r w:rsidRPr="00CB186F">
              <w:rPr>
                <w:rFonts w:ascii="Arial" w:hAnsi="Arial" w:cs="Arial"/>
                <w:b/>
                <w:bCs/>
                <w:color w:val="000000"/>
                <w:sz w:val="20"/>
                <w:szCs w:val="2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05597C" w:rsidRPr="00CB186F" w:rsidRDefault="0005597C">
            <w:pPr>
              <w:jc w:val="center"/>
              <w:rPr>
                <w:rFonts w:ascii="Arial" w:hAnsi="Arial" w:cs="Arial"/>
                <w:sz w:val="20"/>
                <w:szCs w:val="20"/>
              </w:rPr>
            </w:pPr>
            <w:r w:rsidRPr="00CB186F">
              <w:rPr>
                <w:rFonts w:ascii="Arial" w:hAnsi="Arial" w:cs="Arial"/>
                <w:b/>
                <w:bCs/>
                <w:color w:val="000000"/>
                <w:sz w:val="20"/>
                <w:szCs w:val="20"/>
              </w:rPr>
              <w:t>Suplementação</w:t>
            </w:r>
          </w:p>
        </w:tc>
        <w:tc>
          <w:tcPr>
            <w:tcW w:w="1732" w:type="dxa"/>
            <w:tcBorders>
              <w:top w:val="single" w:sz="4" w:space="0" w:color="000000"/>
              <w:bottom w:val="single" w:sz="4" w:space="0" w:color="000000"/>
            </w:tcBorders>
            <w:shd w:val="clear" w:color="auto" w:fill="FFFFFF"/>
            <w:vAlign w:val="center"/>
          </w:tcPr>
          <w:p w:rsidR="0005597C" w:rsidRPr="00CB186F" w:rsidRDefault="0005597C">
            <w:pPr>
              <w:jc w:val="center"/>
              <w:rPr>
                <w:rFonts w:ascii="Arial" w:hAnsi="Arial" w:cs="Arial"/>
                <w:sz w:val="20"/>
                <w:szCs w:val="20"/>
              </w:rPr>
            </w:pPr>
            <w:r w:rsidRPr="00CB186F">
              <w:rPr>
                <w:rFonts w:ascii="Arial" w:hAnsi="Arial" w:cs="Arial"/>
                <w:b/>
                <w:bCs/>
                <w:color w:val="000000"/>
                <w:sz w:val="20"/>
                <w:szCs w:val="20"/>
              </w:rPr>
              <w:t>Origem dos Recursos</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b/>
                <w:bCs/>
                <w:color w:val="000000"/>
                <w:sz w:val="20"/>
                <w:szCs w:val="20"/>
              </w:rPr>
            </w:pP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sz w:val="20"/>
                <w:szCs w:val="20"/>
                <w:lang w:eastAsia="en-US"/>
              </w:rPr>
            </w:pPr>
          </w:p>
        </w:tc>
        <w:tc>
          <w:tcPr>
            <w:tcW w:w="1732" w:type="dxa"/>
            <w:shd w:val="clear" w:color="auto" w:fill="FFFFFF"/>
          </w:tcPr>
          <w:p w:rsidR="0005597C" w:rsidRPr="00CB186F" w:rsidRDefault="0005597C">
            <w:pPr>
              <w:jc w:val="right"/>
              <w:rPr>
                <w:rFonts w:ascii="Arial" w:eastAsia="font314" w:hAnsi="Arial" w:cs="Arial"/>
                <w:sz w:val="20"/>
                <w:szCs w:val="20"/>
                <w:lang w:eastAsia="en-US"/>
              </w:rPr>
            </w:pP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b/>
                <w:bCs/>
                <w:color w:val="000000"/>
                <w:sz w:val="20"/>
                <w:szCs w:val="20"/>
              </w:rPr>
            </w:pP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sz w:val="20"/>
                <w:szCs w:val="20"/>
                <w:lang w:eastAsia="en-US"/>
              </w:rPr>
            </w:pPr>
          </w:p>
        </w:tc>
        <w:tc>
          <w:tcPr>
            <w:tcW w:w="1732" w:type="dxa"/>
            <w:shd w:val="clear" w:color="auto" w:fill="FFFFFF"/>
          </w:tcPr>
          <w:p w:rsidR="0005597C" w:rsidRPr="00CB186F" w:rsidRDefault="0005597C">
            <w:pPr>
              <w:jc w:val="right"/>
              <w:rPr>
                <w:rFonts w:ascii="Arial" w:eastAsia="font314" w:hAnsi="Arial" w:cs="Arial"/>
                <w:sz w:val="20"/>
                <w:szCs w:val="20"/>
                <w:lang w:eastAsia="en-US"/>
              </w:rPr>
            </w:pP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Presidência da República</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2.503.680</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2.503.680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da Agricultura e Pecuária</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0</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40.000.000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da Justiça e Segurança Pública</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10.587.078</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10.587.078</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da Saúde</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8.468.701</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8.468.701</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da Cultura</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15.000</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2.582.000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do Meio Ambiente e Mudança do Clima</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84.653</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84.653</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do Desenvolvimento Agrário e Agricultura Familiar</w:t>
            </w: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sz w:val="20"/>
                <w:szCs w:val="20"/>
                <w:lang w:eastAsia="en-US"/>
              </w:rPr>
            </w:pPr>
          </w:p>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60.769.630</w:t>
            </w:r>
          </w:p>
        </w:tc>
        <w:tc>
          <w:tcPr>
            <w:tcW w:w="1732" w:type="dxa"/>
            <w:shd w:val="clear" w:color="auto" w:fill="FFFFFF"/>
          </w:tcPr>
          <w:p w:rsidR="0005597C" w:rsidRPr="00CB186F" w:rsidRDefault="0005597C">
            <w:pPr>
              <w:jc w:val="right"/>
              <w:rPr>
                <w:rFonts w:ascii="Arial" w:eastAsia="font314" w:hAnsi="Arial" w:cs="Arial"/>
                <w:sz w:val="20"/>
                <w:szCs w:val="20"/>
                <w:lang w:eastAsia="en-US"/>
              </w:rPr>
            </w:pPr>
          </w:p>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20.769.630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do Esporte</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510.000</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510.000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da Defesa</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4.000.000</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do Turismo</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994.409</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994.409</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do Desenvolvimento e Assistência Social, Família e Combate à Fome</w:t>
            </w: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sz w:val="20"/>
                <w:szCs w:val="20"/>
                <w:lang w:eastAsia="en-US"/>
              </w:rPr>
            </w:pPr>
          </w:p>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3.390.902</w:t>
            </w:r>
          </w:p>
        </w:tc>
        <w:tc>
          <w:tcPr>
            <w:tcW w:w="1732" w:type="dxa"/>
            <w:shd w:val="clear" w:color="auto" w:fill="FFFFFF"/>
          </w:tcPr>
          <w:p w:rsidR="0005597C" w:rsidRPr="00CB186F" w:rsidRDefault="0005597C">
            <w:pPr>
              <w:jc w:val="right"/>
              <w:rPr>
                <w:rFonts w:ascii="Arial" w:eastAsia="font314" w:hAnsi="Arial" w:cs="Arial"/>
                <w:sz w:val="20"/>
                <w:szCs w:val="20"/>
                <w:lang w:eastAsia="en-US"/>
              </w:rPr>
            </w:pPr>
          </w:p>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3.390.902</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Ministério das Cidades</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241.859</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241.859</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Advocacia-Geral da União</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206.295</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206.295</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Operações Oficiais de Crédito</w:t>
            </w:r>
          </w:p>
        </w:tc>
        <w:tc>
          <w:tcPr>
            <w:tcW w:w="1717" w:type="dxa"/>
            <w:tcBorders>
              <w:right w:val="single" w:sz="4" w:space="0" w:color="000000"/>
            </w:tcBorders>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2.567.000</w:t>
            </w:r>
          </w:p>
        </w:tc>
        <w:tc>
          <w:tcPr>
            <w:tcW w:w="1732" w:type="dxa"/>
            <w:shd w:val="clear" w:color="auto" w:fill="FFFFFF"/>
          </w:tcPr>
          <w:p w:rsidR="0005597C" w:rsidRPr="00CB186F" w:rsidRDefault="0005597C">
            <w:pPr>
              <w:jc w:val="right"/>
              <w:rPr>
                <w:rFonts w:ascii="Arial" w:hAnsi="Arial" w:cs="Arial"/>
                <w:sz w:val="20"/>
                <w:szCs w:val="20"/>
              </w:rPr>
            </w:pPr>
            <w:r w:rsidRPr="00CB186F">
              <w:rPr>
                <w:rFonts w:ascii="Arial" w:eastAsia="font314" w:hAnsi="Arial" w:cs="Arial"/>
                <w:sz w:val="20"/>
                <w:szCs w:val="20"/>
                <w:lang w:eastAsia="en-US"/>
              </w:rPr>
              <w:t>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b/>
                <w:bCs/>
                <w:color w:val="000000"/>
                <w:sz w:val="20"/>
                <w:szCs w:val="20"/>
              </w:rPr>
            </w:pP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sz w:val="20"/>
                <w:szCs w:val="20"/>
                <w:lang w:eastAsia="en-US"/>
              </w:rPr>
            </w:pPr>
          </w:p>
        </w:tc>
        <w:tc>
          <w:tcPr>
            <w:tcW w:w="1732" w:type="dxa"/>
            <w:shd w:val="clear" w:color="auto" w:fill="FFFFFF"/>
          </w:tcPr>
          <w:p w:rsidR="0005597C" w:rsidRPr="00CB186F" w:rsidRDefault="0005597C">
            <w:pPr>
              <w:jc w:val="right"/>
              <w:rPr>
                <w:rFonts w:ascii="Arial" w:eastAsia="font314" w:hAnsi="Arial" w:cs="Arial"/>
                <w:sz w:val="20"/>
                <w:szCs w:val="20"/>
                <w:lang w:eastAsia="en-US"/>
              </w:rPr>
            </w:pP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hAnsi="Arial" w:cs="Arial"/>
                <w:sz w:val="20"/>
                <w:szCs w:val="20"/>
              </w:rPr>
            </w:pPr>
            <w:r w:rsidRPr="00CB186F">
              <w:rPr>
                <w:rFonts w:ascii="Arial" w:hAnsi="Arial" w:cs="Arial"/>
                <w:b/>
                <w:bCs/>
                <w:sz w:val="20"/>
                <w:szCs w:val="20"/>
              </w:rPr>
              <w:t>Superávit financeiro apurado no balanço patrimonial do exercício de 2023, referente a Recursos Próprios Livres da UO</w:t>
            </w: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b/>
                <w:bCs/>
                <w:sz w:val="20"/>
                <w:szCs w:val="20"/>
                <w:lang w:eastAsia="en-US"/>
              </w:rPr>
            </w:pPr>
          </w:p>
          <w:p w:rsidR="0005597C" w:rsidRPr="00CB186F" w:rsidRDefault="0005597C">
            <w:pPr>
              <w:jc w:val="right"/>
              <w:rPr>
                <w:rFonts w:ascii="Arial" w:eastAsia="font314" w:hAnsi="Arial" w:cs="Arial"/>
                <w:b/>
                <w:bCs/>
                <w:sz w:val="20"/>
                <w:szCs w:val="20"/>
                <w:lang w:eastAsia="en-US"/>
              </w:rPr>
            </w:pPr>
          </w:p>
          <w:p w:rsidR="0005597C" w:rsidRPr="00CB186F" w:rsidRDefault="0005597C">
            <w:pPr>
              <w:jc w:val="right"/>
              <w:rPr>
                <w:rFonts w:ascii="Arial" w:hAnsi="Arial" w:cs="Arial"/>
                <w:sz w:val="20"/>
                <w:szCs w:val="20"/>
              </w:rPr>
            </w:pPr>
            <w:r w:rsidRPr="00CB186F">
              <w:rPr>
                <w:rFonts w:ascii="Arial" w:eastAsia="font314" w:hAnsi="Arial" w:cs="Arial"/>
                <w:b/>
                <w:bCs/>
                <w:sz w:val="20"/>
                <w:szCs w:val="20"/>
                <w:lang w:eastAsia="en-US"/>
              </w:rPr>
              <w:t>0</w:t>
            </w:r>
          </w:p>
        </w:tc>
        <w:tc>
          <w:tcPr>
            <w:tcW w:w="1732" w:type="dxa"/>
            <w:shd w:val="clear" w:color="auto" w:fill="FFFFFF"/>
          </w:tcPr>
          <w:p w:rsidR="0005597C" w:rsidRPr="00CB186F" w:rsidRDefault="0005597C">
            <w:pPr>
              <w:jc w:val="right"/>
              <w:rPr>
                <w:rFonts w:ascii="Arial" w:eastAsia="font314" w:hAnsi="Arial" w:cs="Arial"/>
                <w:b/>
                <w:bCs/>
                <w:sz w:val="20"/>
                <w:szCs w:val="20"/>
                <w:lang w:eastAsia="en-US"/>
              </w:rPr>
            </w:pPr>
          </w:p>
          <w:p w:rsidR="0005597C" w:rsidRPr="00CB186F" w:rsidRDefault="0005597C">
            <w:pPr>
              <w:jc w:val="right"/>
              <w:rPr>
                <w:rFonts w:ascii="Arial" w:eastAsia="font314" w:hAnsi="Arial" w:cs="Arial"/>
                <w:b/>
                <w:bCs/>
                <w:sz w:val="20"/>
                <w:szCs w:val="20"/>
                <w:lang w:eastAsia="en-US"/>
              </w:rPr>
            </w:pPr>
          </w:p>
          <w:p w:rsidR="0005597C" w:rsidRPr="00CB186F" w:rsidRDefault="0005597C">
            <w:pPr>
              <w:jc w:val="right"/>
              <w:rPr>
                <w:rFonts w:ascii="Arial" w:hAnsi="Arial" w:cs="Arial"/>
                <w:sz w:val="20"/>
                <w:szCs w:val="20"/>
              </w:rPr>
            </w:pPr>
            <w:r w:rsidRPr="00CB186F">
              <w:rPr>
                <w:rFonts w:ascii="Arial" w:eastAsia="font314" w:hAnsi="Arial" w:cs="Arial"/>
                <w:b/>
                <w:bCs/>
                <w:sz w:val="20"/>
                <w:szCs w:val="20"/>
                <w:lang w:eastAsia="en-US"/>
              </w:rPr>
              <w:t>4.000.000</w:t>
            </w:r>
          </w:p>
        </w:tc>
      </w:tr>
      <w:tr w:rsidR="0005597C" w:rsidRPr="00CB186F">
        <w:trPr>
          <w:trHeight w:val="284"/>
        </w:trPr>
        <w:tc>
          <w:tcPr>
            <w:tcW w:w="6096" w:type="dxa"/>
            <w:tcBorders>
              <w:right w:val="single" w:sz="4" w:space="0" w:color="000000"/>
            </w:tcBorders>
            <w:shd w:val="clear" w:color="auto" w:fill="FFFFFF"/>
            <w:tcMar>
              <w:left w:w="425" w:type="dxa"/>
            </w:tcMar>
          </w:tcPr>
          <w:p w:rsidR="0005597C" w:rsidRPr="00CB186F" w:rsidRDefault="0005597C">
            <w:pPr>
              <w:rPr>
                <w:rFonts w:ascii="Arial" w:eastAsia="font314" w:hAnsi="Arial" w:cs="Arial"/>
                <w:sz w:val="20"/>
                <w:szCs w:val="20"/>
                <w:lang w:eastAsia="en-US"/>
              </w:rPr>
            </w:pPr>
          </w:p>
        </w:tc>
        <w:tc>
          <w:tcPr>
            <w:tcW w:w="1717" w:type="dxa"/>
            <w:tcBorders>
              <w:right w:val="single" w:sz="4" w:space="0" w:color="000000"/>
            </w:tcBorders>
            <w:shd w:val="clear" w:color="auto" w:fill="FFFFFF"/>
          </w:tcPr>
          <w:p w:rsidR="0005597C" w:rsidRPr="00CB186F" w:rsidRDefault="0005597C">
            <w:pPr>
              <w:jc w:val="right"/>
              <w:rPr>
                <w:rFonts w:ascii="Arial" w:eastAsia="font314" w:hAnsi="Arial" w:cs="Arial"/>
                <w:sz w:val="20"/>
                <w:szCs w:val="20"/>
                <w:lang w:eastAsia="en-US"/>
              </w:rPr>
            </w:pPr>
          </w:p>
        </w:tc>
        <w:tc>
          <w:tcPr>
            <w:tcW w:w="1732" w:type="dxa"/>
            <w:shd w:val="clear" w:color="auto" w:fill="FFFFFF"/>
          </w:tcPr>
          <w:p w:rsidR="0005597C" w:rsidRPr="00CB186F" w:rsidRDefault="0005597C">
            <w:pPr>
              <w:jc w:val="right"/>
              <w:rPr>
                <w:rFonts w:ascii="Arial" w:eastAsia="font314" w:hAnsi="Arial" w:cs="Arial"/>
                <w:sz w:val="20"/>
                <w:szCs w:val="20"/>
                <w:lang w:eastAsia="en-US"/>
              </w:rPr>
            </w:pPr>
          </w:p>
        </w:tc>
      </w:tr>
      <w:tr w:rsidR="0005597C" w:rsidRPr="00CB186F">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05597C" w:rsidRPr="00CB186F" w:rsidRDefault="0005597C">
            <w:pPr>
              <w:rPr>
                <w:rFonts w:ascii="Arial" w:hAnsi="Arial" w:cs="Arial"/>
                <w:sz w:val="20"/>
                <w:szCs w:val="20"/>
              </w:rPr>
            </w:pPr>
            <w:r w:rsidRPr="00CB186F">
              <w:rPr>
                <w:rFonts w:ascii="Arial" w:hAnsi="Arial" w:cs="Arial"/>
                <w:b/>
                <w:sz w:val="20"/>
                <w:szCs w:val="2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05597C" w:rsidRPr="00CB186F" w:rsidRDefault="0005597C">
            <w:pPr>
              <w:jc w:val="right"/>
              <w:rPr>
                <w:rFonts w:ascii="Arial" w:hAnsi="Arial" w:cs="Arial"/>
                <w:sz w:val="20"/>
                <w:szCs w:val="20"/>
              </w:rPr>
            </w:pPr>
            <w:r w:rsidRPr="00CB186F">
              <w:rPr>
                <w:rFonts w:ascii="Arial" w:hAnsi="Arial" w:cs="Arial"/>
                <w:b/>
                <w:sz w:val="20"/>
                <w:szCs w:val="20"/>
              </w:rPr>
              <w:t>94.339.207</w:t>
            </w:r>
          </w:p>
        </w:tc>
        <w:tc>
          <w:tcPr>
            <w:tcW w:w="1732" w:type="dxa"/>
            <w:tcBorders>
              <w:top w:val="single" w:sz="4" w:space="0" w:color="000000"/>
              <w:bottom w:val="single" w:sz="4" w:space="0" w:color="000000"/>
            </w:tcBorders>
            <w:shd w:val="clear" w:color="auto" w:fill="FFFFFF"/>
            <w:vAlign w:val="center"/>
          </w:tcPr>
          <w:p w:rsidR="0005597C" w:rsidRPr="00CB186F" w:rsidRDefault="0005597C">
            <w:pPr>
              <w:jc w:val="right"/>
              <w:rPr>
                <w:rFonts w:ascii="Arial" w:hAnsi="Arial" w:cs="Arial"/>
                <w:sz w:val="20"/>
                <w:szCs w:val="20"/>
              </w:rPr>
            </w:pPr>
            <w:r w:rsidRPr="00CB186F">
              <w:rPr>
                <w:rFonts w:ascii="Arial" w:hAnsi="Arial" w:cs="Arial"/>
                <w:b/>
                <w:sz w:val="20"/>
                <w:szCs w:val="20"/>
              </w:rPr>
              <w:t>94.339.207</w:t>
            </w:r>
          </w:p>
        </w:tc>
      </w:tr>
    </w:tbl>
    <w:p w:rsidR="0005597C" w:rsidRPr="00CB186F" w:rsidRDefault="0005597C">
      <w:pPr>
        <w:tabs>
          <w:tab w:val="left" w:pos="426"/>
        </w:tabs>
        <w:rPr>
          <w:rFonts w:ascii="Arial" w:hAnsi="Arial" w:cs="Arial"/>
          <w:sz w:val="20"/>
          <w:szCs w:val="20"/>
        </w:rPr>
      </w:pPr>
    </w:p>
    <w:p w:rsidR="0005597C" w:rsidRPr="00CB186F" w:rsidRDefault="0005597C">
      <w:pPr>
        <w:pStyle w:val="Standard"/>
        <w:ind w:left="567" w:right="284"/>
        <w:rPr>
          <w:rFonts w:ascii="Arial" w:hAnsi="Arial" w:cs="Arial"/>
          <w:b/>
          <w:i/>
          <w:sz w:val="20"/>
          <w:szCs w:val="20"/>
        </w:rPr>
        <w:sectPr w:rsidR="0005597C" w:rsidRPr="00CB186F" w:rsidSect="005F4D22">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7737"/>
        <w:gridCol w:w="1693"/>
        <w:gridCol w:w="6"/>
        <w:gridCol w:w="34"/>
        <w:gridCol w:w="6"/>
      </w:tblGrid>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bookmarkStart w:id="1" w:name="JR_PAGE_ANCHOR_0_1"/>
            <w:bookmarkEnd w:id="1"/>
          </w:p>
        </w:tc>
        <w:tc>
          <w:tcPr>
            <w:tcW w:w="7737" w:type="dxa"/>
            <w:shd w:val="clear" w:color="auto" w:fill="auto"/>
          </w:tcPr>
          <w:p w:rsidR="0005597C" w:rsidRPr="00CB186F" w:rsidRDefault="0005597C">
            <w:pPr>
              <w:pStyle w:val="EMPTYCELLSTYLE"/>
              <w:widowControl w:val="0"/>
              <w:rPr>
                <w:rFonts w:ascii="Arial" w:hAnsi="Arial" w:cs="Arial"/>
                <w:sz w:val="20"/>
              </w:rPr>
            </w:pPr>
          </w:p>
        </w:tc>
        <w:tc>
          <w:tcPr>
            <w:tcW w:w="1699" w:type="dxa"/>
            <w:gridSpan w:val="2"/>
            <w:shd w:val="clear" w:color="auto" w:fill="auto"/>
          </w:tcPr>
          <w:p w:rsidR="0005597C" w:rsidRPr="00CB186F" w:rsidRDefault="0005597C">
            <w:pPr>
              <w:pStyle w:val="EMPTYCELLSTYLE"/>
              <w:widowControl w:val="0"/>
              <w:rPr>
                <w:rFonts w:ascii="Arial" w:hAnsi="Arial" w:cs="Arial"/>
                <w:sz w:val="20"/>
              </w:rPr>
            </w:pP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gridAfter w:val="1"/>
          <w:wAfter w:w="6" w:type="dxa"/>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9430" w:type="dxa"/>
            <w:gridSpan w:val="2"/>
            <w:shd w:val="clear" w:color="auto" w:fill="auto"/>
            <w:tcMar>
              <w:left w:w="0" w:type="dxa"/>
              <w:right w:w="0" w:type="dxa"/>
            </w:tcMar>
            <w:vAlign w:val="bottom"/>
          </w:tcPr>
          <w:p w:rsidR="0005597C" w:rsidRPr="00CB186F" w:rsidRDefault="0005597C">
            <w:pPr>
              <w:jc w:val="center"/>
              <w:rPr>
                <w:rFonts w:ascii="Arial" w:hAnsi="Arial" w:cs="Arial"/>
                <w:sz w:val="20"/>
                <w:szCs w:val="20"/>
              </w:rPr>
            </w:pPr>
            <w:r w:rsidRPr="00CB186F">
              <w:rPr>
                <w:rFonts w:ascii="Arial" w:hAnsi="Arial" w:cs="Arial"/>
                <w:color w:val="000000"/>
                <w:sz w:val="20"/>
                <w:szCs w:val="20"/>
              </w:rPr>
              <w:t>DEMONSTRATIVO DE SUPERÁVIT FINANCEIRO</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gridAfter w:val="1"/>
          <w:wAfter w:w="6" w:type="dxa"/>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9430" w:type="dxa"/>
            <w:gridSpan w:val="2"/>
            <w:shd w:val="clear" w:color="auto" w:fill="auto"/>
            <w:tcMar>
              <w:left w:w="0" w:type="dxa"/>
              <w:right w:w="0" w:type="dxa"/>
            </w:tcMar>
          </w:tcPr>
          <w:p w:rsidR="0005597C" w:rsidRPr="00CB186F" w:rsidRDefault="0005597C">
            <w:pPr>
              <w:jc w:val="center"/>
              <w:rPr>
                <w:rFonts w:ascii="Arial" w:hAnsi="Arial" w:cs="Arial"/>
                <w:sz w:val="20"/>
                <w:szCs w:val="20"/>
              </w:rPr>
            </w:pPr>
            <w:r w:rsidRPr="00CB186F">
              <w:rPr>
                <w:rFonts w:ascii="Arial" w:hAnsi="Arial" w:cs="Arial"/>
                <w:color w:val="000000"/>
                <w:sz w:val="20"/>
                <w:szCs w:val="20"/>
              </w:rPr>
              <w:t>(Art. 54, § 6º, da Lei nº 14.791, de 29 de dezembro de 2023)</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gridAfter w:val="1"/>
          <w:wAfter w:w="6" w:type="dxa"/>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9430" w:type="dxa"/>
            <w:gridSpan w:val="2"/>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Fonte: 050 - RECURSOS PROPRIOS LIVRES DA UO</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gridAfter w:val="1"/>
          <w:wAfter w:w="6" w:type="dxa"/>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9430" w:type="dxa"/>
            <w:gridSpan w:val="2"/>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Unidade Orçamentária: 52232 - Caixa de Construções de Casas para o Pessoal da Marinha - CCCPM</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gridAfter w:val="1"/>
          <w:wAfter w:w="6" w:type="dxa"/>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9430" w:type="dxa"/>
            <w:gridSpan w:val="2"/>
            <w:tcBorders>
              <w:bottom w:val="single" w:sz="8" w:space="0" w:color="000000"/>
            </w:tcBorders>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R$ 1,00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 Superávit Financeiro apurado no balanço patrimonial do exercício de 2023</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49.057.562</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(B) Remanejamentos de saldo do superávit financeiro entre unidades, compatíveis com o parágrafo único do art. 8º da LRF</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(C) Créditos Especiais e Extraordinários Reabertos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Abertos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Em Tramitação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(D) Créditos Extraordinários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Abertos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Em Tramitação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(E) Créditos Suplementares e Especiais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4.118.914</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Abertos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118.914</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Em Tramitação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4.000.000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(F) Outras alterações orçamentárias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Abertos</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Em Tramitação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shd w:val="clear" w:color="auto" w:fill="auto"/>
            <w:tcMar>
              <w:left w:w="222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Valor deste crédito</w:t>
            </w:r>
          </w:p>
        </w:tc>
        <w:tc>
          <w:tcPr>
            <w:tcW w:w="1699"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color w:val="000000"/>
                <w:sz w:val="20"/>
                <w:szCs w:val="20"/>
              </w:rPr>
              <w:t>0</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b/>
                <w:color w:val="000000"/>
                <w:sz w:val="20"/>
                <w:szCs w:val="20"/>
              </w:rPr>
              <w:t>(G) Saldo = (A) + (B) - (C) - (D) - (E) - (F)</w:t>
            </w:r>
          </w:p>
        </w:tc>
        <w:tc>
          <w:tcPr>
            <w:tcW w:w="1699" w:type="dxa"/>
            <w:gridSpan w:val="2"/>
            <w:tcBorders>
              <w:top w:val="single" w:sz="8" w:space="0" w:color="000000"/>
              <w:bottom w:val="single" w:sz="8" w:space="0" w:color="000000"/>
            </w:tcBorders>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hAnsi="Arial" w:cs="Arial"/>
                <w:b/>
                <w:color w:val="000000"/>
                <w:sz w:val="20"/>
                <w:szCs w:val="20"/>
              </w:rPr>
              <w:t>44.938.648</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r w:rsidR="0005597C" w:rsidRPr="00CB186F" w:rsidTr="0005597C">
        <w:trPr>
          <w:gridAfter w:val="1"/>
          <w:wAfter w:w="6" w:type="dxa"/>
          <w:trHeight w:val="3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9430" w:type="dxa"/>
            <w:gridSpan w:val="2"/>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hAnsi="Arial" w:cs="Arial"/>
                <w:color w:val="000000"/>
                <w:sz w:val="20"/>
                <w:szCs w:val="20"/>
              </w:rPr>
              <w:t>(A) Portaria STN/MF n</w:t>
            </w:r>
            <w:r w:rsidRPr="00CB186F">
              <w:rPr>
                <w:rFonts w:ascii="Arial" w:hAnsi="Arial" w:cs="Arial"/>
                <w:color w:val="000000"/>
                <w:sz w:val="20"/>
                <w:szCs w:val="20"/>
                <w:u w:val="single"/>
                <w:vertAlign w:val="superscript"/>
              </w:rPr>
              <w:t>o</w:t>
            </w:r>
            <w:r w:rsidRPr="00CB186F">
              <w:rPr>
                <w:rFonts w:ascii="Arial" w:hAnsi="Arial" w:cs="Arial"/>
                <w:color w:val="000000"/>
                <w:sz w:val="20"/>
                <w:szCs w:val="20"/>
              </w:rPr>
              <w:t xml:space="preserve"> 292, de 22 de fevereiro de 2024. Posição 02/10/2024</w:t>
            </w:r>
          </w:p>
        </w:tc>
        <w:tc>
          <w:tcPr>
            <w:tcW w:w="40" w:type="dxa"/>
            <w:gridSpan w:val="2"/>
            <w:shd w:val="clear" w:color="auto" w:fill="auto"/>
          </w:tcPr>
          <w:p w:rsidR="0005597C" w:rsidRPr="00CB186F" w:rsidRDefault="0005597C">
            <w:pPr>
              <w:pStyle w:val="EMPTYCELLSTYLE"/>
              <w:widowControl w:val="0"/>
              <w:rPr>
                <w:rFonts w:ascii="Arial" w:hAnsi="Arial" w:cs="Arial"/>
                <w:sz w:val="20"/>
              </w:rPr>
            </w:pPr>
          </w:p>
        </w:tc>
      </w:tr>
    </w:tbl>
    <w:p w:rsidR="0005597C" w:rsidRPr="00CB186F" w:rsidRDefault="0005597C">
      <w:pPr>
        <w:rPr>
          <w:rFonts w:ascii="Arial" w:hAnsi="Arial" w:cs="Arial"/>
          <w:sz w:val="20"/>
          <w:szCs w:val="20"/>
        </w:rPr>
        <w:sectPr w:rsidR="0005597C" w:rsidRPr="00CB186F" w:rsidSect="007D11E3">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40"/>
        <w:gridCol w:w="1039"/>
        <w:gridCol w:w="561"/>
        <w:gridCol w:w="800"/>
        <w:gridCol w:w="3479"/>
        <w:gridCol w:w="440"/>
        <w:gridCol w:w="1600"/>
        <w:gridCol w:w="1121"/>
        <w:gridCol w:w="480"/>
        <w:gridCol w:w="779"/>
        <w:gridCol w:w="821"/>
        <w:gridCol w:w="1600"/>
        <w:gridCol w:w="480"/>
        <w:gridCol w:w="1120"/>
        <w:gridCol w:w="919"/>
        <w:gridCol w:w="760"/>
        <w:gridCol w:w="40"/>
        <w:gridCol w:w="40"/>
      </w:tblGrid>
      <w:tr w:rsidR="0005597C" w:rsidRPr="00CB186F">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1079" w:type="dxa"/>
            <w:gridSpan w:val="2"/>
            <w:vMerge w:val="restart"/>
            <w:shd w:val="clear" w:color="auto" w:fill="auto"/>
            <w:tcMar>
              <w:left w:w="0" w:type="dxa"/>
              <w:right w:w="0" w:type="dxa"/>
            </w:tcMar>
          </w:tcPr>
          <w:p w:rsidR="0005597C" w:rsidRPr="00CB186F" w:rsidRDefault="00CB186F">
            <w:pPr>
              <w:rPr>
                <w:rFonts w:ascii="Arial" w:hAnsi="Arial" w:cs="Arial"/>
                <w:sz w:val="20"/>
                <w:szCs w:val="20"/>
              </w:rPr>
            </w:pPr>
            <w:r w:rsidRPr="00CB186F">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pt;width:52.95pt;height:52.55pt;z-index:251659264;mso-wrap-distance-left:0;mso-wrap-distance-right:0;mso-position-horizontal-relative:text;mso-position-vertical-relative:text" filled="t">
                  <v:fill opacity="0" color2="black"/>
                  <v:imagedata r:id="rId6" o:title=""/>
                </v:shape>
              </w:pict>
            </w:r>
          </w:p>
        </w:tc>
        <w:tc>
          <w:tcPr>
            <w:tcW w:w="8001" w:type="dxa"/>
            <w:gridSpan w:val="6"/>
            <w:shd w:val="clear" w:color="auto" w:fill="auto"/>
            <w:tcMar>
              <w:left w:w="200" w:type="dxa"/>
              <w:right w:w="0" w:type="dxa"/>
            </w:tcMar>
            <w:vAlign w:val="center"/>
          </w:tcPr>
          <w:p w:rsidR="0005597C" w:rsidRPr="00CB186F" w:rsidRDefault="0005597C">
            <w:pPr>
              <w:rPr>
                <w:rFonts w:ascii="Arial" w:hAnsi="Arial" w:cs="Arial"/>
                <w:sz w:val="20"/>
                <w:szCs w:val="20"/>
              </w:rPr>
            </w:pPr>
            <w:r w:rsidRPr="00CB186F">
              <w:rPr>
                <w:rFonts w:ascii="Arial" w:eastAsia="Arial" w:hAnsi="Arial" w:cs="Arial"/>
                <w:b/>
                <w:color w:val="000000"/>
                <w:sz w:val="20"/>
                <w:szCs w:val="20"/>
              </w:rPr>
              <w:t>Ministério do Planejamento e Orçamento</w:t>
            </w: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1079" w:type="dxa"/>
            <w:gridSpan w:val="2"/>
            <w:vMerge/>
            <w:shd w:val="clear" w:color="auto" w:fill="auto"/>
            <w:tcMar>
              <w:left w:w="0" w:type="dxa"/>
              <w:right w:w="0" w:type="dxa"/>
            </w:tcMar>
          </w:tcPr>
          <w:p w:rsidR="0005597C" w:rsidRPr="00CB186F" w:rsidRDefault="0005597C">
            <w:pPr>
              <w:pStyle w:val="EMPTYCELLSTYLE"/>
              <w:widowControl w:val="0"/>
              <w:rPr>
                <w:rFonts w:ascii="Arial" w:hAnsi="Arial" w:cs="Arial"/>
                <w:sz w:val="20"/>
              </w:rPr>
            </w:pPr>
          </w:p>
        </w:tc>
        <w:tc>
          <w:tcPr>
            <w:tcW w:w="8001" w:type="dxa"/>
            <w:gridSpan w:val="6"/>
            <w:shd w:val="clear" w:color="auto" w:fill="auto"/>
            <w:tcMar>
              <w:left w:w="200" w:type="dxa"/>
              <w:right w:w="0" w:type="dxa"/>
            </w:tcMar>
            <w:vAlign w:val="center"/>
          </w:tcPr>
          <w:p w:rsidR="0005597C" w:rsidRPr="00CB186F" w:rsidRDefault="0005597C">
            <w:pPr>
              <w:rPr>
                <w:rFonts w:ascii="Arial" w:hAnsi="Arial" w:cs="Arial"/>
                <w:sz w:val="20"/>
                <w:szCs w:val="20"/>
              </w:rPr>
            </w:pPr>
            <w:r w:rsidRPr="00CB186F">
              <w:rPr>
                <w:rFonts w:ascii="Arial" w:eastAsia="Arial" w:hAnsi="Arial" w:cs="Arial"/>
                <w:color w:val="000000"/>
                <w:sz w:val="20"/>
                <w:szCs w:val="20"/>
              </w:rPr>
              <w:t>SIOP - Alterações Orçamentárias</w:t>
            </w:r>
          </w:p>
        </w:tc>
        <w:tc>
          <w:tcPr>
            <w:tcW w:w="6999" w:type="dxa"/>
            <w:gridSpan w:val="9"/>
            <w:shd w:val="clear" w:color="auto" w:fill="auto"/>
            <w:tcMar>
              <w:left w:w="0" w:type="dxa"/>
              <w:right w:w="0" w:type="dxa"/>
            </w:tcMar>
            <w:vAlign w:val="center"/>
          </w:tcPr>
          <w:p w:rsidR="0005597C" w:rsidRPr="00CB186F" w:rsidRDefault="0005597C">
            <w:pPr>
              <w:jc w:val="right"/>
              <w:rPr>
                <w:rFonts w:ascii="Arial" w:hAnsi="Arial" w:cs="Arial"/>
                <w:sz w:val="20"/>
                <w:szCs w:val="20"/>
              </w:rPr>
            </w:pPr>
            <w:r w:rsidRPr="00CB186F">
              <w:rPr>
                <w:rFonts w:ascii="Arial" w:eastAsia="Arial" w:hAnsi="Arial" w:cs="Arial"/>
                <w:b/>
                <w:color w:val="000000"/>
                <w:sz w:val="20"/>
                <w:szCs w:val="20"/>
              </w:rPr>
              <w:t>Exercício: 2024</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4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1079" w:type="dxa"/>
            <w:gridSpan w:val="2"/>
            <w:vMerge/>
            <w:shd w:val="clear" w:color="auto" w:fill="auto"/>
            <w:tcMar>
              <w:left w:w="0" w:type="dxa"/>
              <w:right w:w="0" w:type="dxa"/>
            </w:tcMar>
          </w:tcPr>
          <w:p w:rsidR="0005597C" w:rsidRPr="00CB186F" w:rsidRDefault="0005597C">
            <w:pPr>
              <w:pStyle w:val="EMPTYCELLSTYLE"/>
              <w:widowControl w:val="0"/>
              <w:rPr>
                <w:rFonts w:ascii="Arial" w:hAnsi="Arial" w:cs="Arial"/>
                <w:sz w:val="20"/>
              </w:rPr>
            </w:pPr>
          </w:p>
        </w:tc>
        <w:tc>
          <w:tcPr>
            <w:tcW w:w="8001" w:type="dxa"/>
            <w:gridSpan w:val="6"/>
            <w:shd w:val="clear" w:color="auto" w:fill="auto"/>
            <w:tcMar>
              <w:left w:w="200" w:type="dxa"/>
              <w:right w:w="0" w:type="dxa"/>
            </w:tcMar>
            <w:vAlign w:val="center"/>
          </w:tcPr>
          <w:p w:rsidR="0005597C" w:rsidRPr="00CB186F" w:rsidRDefault="0005597C">
            <w:pPr>
              <w:rPr>
                <w:rFonts w:ascii="Arial" w:hAnsi="Arial" w:cs="Arial"/>
                <w:sz w:val="20"/>
                <w:szCs w:val="20"/>
              </w:rPr>
            </w:pPr>
            <w:r w:rsidRPr="00CB186F">
              <w:rPr>
                <w:rFonts w:ascii="Arial" w:eastAsia="Arial" w:hAnsi="Arial" w:cs="Arial"/>
                <w:b/>
                <w:color w:val="000000"/>
                <w:sz w:val="20"/>
                <w:szCs w:val="20"/>
              </w:rPr>
              <w:t>RELATÓRIO DEMONSTRATIVO DOS DESVIOS</w:t>
            </w: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15000" w:type="dxa"/>
            <w:gridSpan w:val="15"/>
            <w:shd w:val="clear" w:color="auto" w:fill="auto"/>
            <w:tcMar>
              <w:left w:w="200" w:type="dxa"/>
              <w:right w:w="0" w:type="dxa"/>
            </w:tcMar>
            <w:vAlign w:val="center"/>
          </w:tcPr>
          <w:p w:rsidR="0005597C" w:rsidRPr="00CB186F" w:rsidRDefault="0005597C">
            <w:pPr>
              <w:rPr>
                <w:rFonts w:ascii="Arial" w:hAnsi="Arial" w:cs="Arial"/>
                <w:sz w:val="20"/>
                <w:szCs w:val="20"/>
              </w:rPr>
            </w:pPr>
            <w:r w:rsidRPr="00CB186F">
              <w:rPr>
                <w:rFonts w:ascii="Arial" w:eastAsia="Arial" w:hAnsi="Arial" w:cs="Arial"/>
                <w:color w:val="000000"/>
                <w:sz w:val="20"/>
                <w:szCs w:val="20"/>
              </w:rPr>
              <w:t>(Art.54, §18, da Lei nº 14.791, de 29 de dezembro de 2023)</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1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8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w:hAnsi="Arial" w:cs="Arial"/>
                <w:b/>
                <w:color w:val="000000"/>
                <w:sz w:val="20"/>
                <w:szCs w:val="20"/>
              </w:rPr>
              <w:t>R$ 1,00</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4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vAlign w:val="bottom"/>
          </w:tcPr>
          <w:p w:rsidR="0005597C" w:rsidRPr="00CB186F" w:rsidRDefault="0005597C">
            <w:pPr>
              <w:rPr>
                <w:rFonts w:ascii="Arial" w:hAnsi="Arial" w:cs="Arial"/>
                <w:sz w:val="20"/>
                <w:szCs w:val="20"/>
              </w:rPr>
            </w:pPr>
            <w:r w:rsidRPr="00CB186F">
              <w:rPr>
                <w:rFonts w:ascii="Arial" w:eastAsia="Arial Narrow" w:hAnsi="Arial" w:cs="Arial"/>
                <w:b/>
                <w:color w:val="000000"/>
                <w:sz w:val="20"/>
                <w:szCs w:val="20"/>
              </w:rPr>
              <w:t>Programação</w:t>
            </w:r>
          </w:p>
        </w:tc>
        <w:tc>
          <w:tcPr>
            <w:tcW w:w="1600" w:type="dxa"/>
            <w:shd w:val="clear" w:color="auto" w:fill="auto"/>
            <w:tcMar>
              <w:left w:w="0" w:type="dxa"/>
              <w:right w:w="0" w:type="dxa"/>
            </w:tcMar>
            <w:vAlign w:val="bottom"/>
          </w:tcPr>
          <w:p w:rsidR="0005597C" w:rsidRPr="00CB186F" w:rsidRDefault="0005597C">
            <w:pPr>
              <w:jc w:val="right"/>
              <w:rPr>
                <w:rFonts w:ascii="Arial" w:hAnsi="Arial" w:cs="Arial"/>
                <w:sz w:val="20"/>
                <w:szCs w:val="20"/>
              </w:rPr>
            </w:pPr>
            <w:r w:rsidRPr="00CB186F">
              <w:rPr>
                <w:rFonts w:ascii="Arial" w:eastAsia="Arial Narrow" w:hAnsi="Arial" w:cs="Arial"/>
                <w:b/>
                <w:color w:val="000000"/>
                <w:sz w:val="20"/>
                <w:szCs w:val="20"/>
              </w:rPr>
              <w:t>LOA</w:t>
            </w:r>
            <w:r w:rsidRPr="00CB186F">
              <w:rPr>
                <w:rFonts w:ascii="Arial" w:eastAsia="Arial Narrow" w:hAnsi="Arial" w:cs="Arial"/>
                <w:b/>
                <w:color w:val="000000"/>
                <w:sz w:val="20"/>
                <w:szCs w:val="20"/>
              </w:rPr>
              <w:br/>
              <w:t>(A)</w:t>
            </w:r>
          </w:p>
        </w:tc>
        <w:tc>
          <w:tcPr>
            <w:tcW w:w="1601" w:type="dxa"/>
            <w:gridSpan w:val="2"/>
            <w:shd w:val="clear" w:color="auto" w:fill="auto"/>
            <w:tcMar>
              <w:left w:w="0" w:type="dxa"/>
              <w:right w:w="0" w:type="dxa"/>
            </w:tcMar>
            <w:vAlign w:val="bottom"/>
          </w:tcPr>
          <w:p w:rsidR="0005597C" w:rsidRPr="00CB186F" w:rsidRDefault="0005597C">
            <w:pPr>
              <w:jc w:val="right"/>
              <w:rPr>
                <w:rFonts w:ascii="Arial" w:hAnsi="Arial" w:cs="Arial"/>
                <w:sz w:val="20"/>
                <w:szCs w:val="20"/>
              </w:rPr>
            </w:pPr>
            <w:r w:rsidRPr="00CB186F">
              <w:rPr>
                <w:rFonts w:ascii="Arial" w:eastAsia="Arial Narrow" w:hAnsi="Arial" w:cs="Arial"/>
                <w:b/>
                <w:color w:val="000000"/>
                <w:sz w:val="20"/>
                <w:szCs w:val="20"/>
              </w:rPr>
              <w:t>Dotação</w:t>
            </w:r>
            <w:r w:rsidRPr="00CB186F">
              <w:rPr>
                <w:rFonts w:ascii="Arial" w:eastAsia="Arial Narrow" w:hAnsi="Arial" w:cs="Arial"/>
                <w:b/>
                <w:color w:val="000000"/>
                <w:sz w:val="20"/>
                <w:szCs w:val="20"/>
              </w:rPr>
              <w:br/>
              <w:t>Atual (B)</w:t>
            </w:r>
          </w:p>
        </w:tc>
        <w:tc>
          <w:tcPr>
            <w:tcW w:w="1600" w:type="dxa"/>
            <w:gridSpan w:val="2"/>
            <w:shd w:val="clear" w:color="auto" w:fill="auto"/>
            <w:tcMar>
              <w:left w:w="0" w:type="dxa"/>
              <w:right w:w="0" w:type="dxa"/>
            </w:tcMar>
            <w:vAlign w:val="bottom"/>
          </w:tcPr>
          <w:p w:rsidR="0005597C" w:rsidRPr="00CB186F" w:rsidRDefault="0005597C">
            <w:pPr>
              <w:jc w:val="right"/>
              <w:rPr>
                <w:rFonts w:ascii="Arial" w:hAnsi="Arial" w:cs="Arial"/>
                <w:sz w:val="20"/>
                <w:szCs w:val="20"/>
              </w:rPr>
            </w:pPr>
            <w:r w:rsidRPr="00CB186F">
              <w:rPr>
                <w:rFonts w:ascii="Arial" w:eastAsia="Arial Narrow" w:hAnsi="Arial" w:cs="Arial"/>
                <w:b/>
                <w:color w:val="000000"/>
                <w:sz w:val="20"/>
                <w:szCs w:val="20"/>
              </w:rPr>
              <w:t>Créditos em</w:t>
            </w:r>
            <w:r w:rsidRPr="00CB186F">
              <w:rPr>
                <w:rFonts w:ascii="Arial" w:eastAsia="Arial Narrow" w:hAnsi="Arial" w:cs="Arial"/>
                <w:b/>
                <w:color w:val="000000"/>
                <w:sz w:val="20"/>
                <w:szCs w:val="20"/>
              </w:rPr>
              <w:br/>
              <w:t>Tramitação (C)</w:t>
            </w:r>
          </w:p>
        </w:tc>
        <w:tc>
          <w:tcPr>
            <w:tcW w:w="1600" w:type="dxa"/>
            <w:shd w:val="clear" w:color="auto" w:fill="auto"/>
            <w:tcMar>
              <w:left w:w="0" w:type="dxa"/>
              <w:right w:w="0" w:type="dxa"/>
            </w:tcMar>
            <w:vAlign w:val="bottom"/>
          </w:tcPr>
          <w:p w:rsidR="0005597C" w:rsidRPr="00CB186F" w:rsidRDefault="0005597C">
            <w:pPr>
              <w:jc w:val="right"/>
              <w:rPr>
                <w:rFonts w:ascii="Arial" w:hAnsi="Arial" w:cs="Arial"/>
                <w:sz w:val="20"/>
                <w:szCs w:val="20"/>
              </w:rPr>
            </w:pPr>
            <w:r w:rsidRPr="00CB186F">
              <w:rPr>
                <w:rFonts w:ascii="Arial" w:eastAsia="Arial Narrow" w:hAnsi="Arial" w:cs="Arial"/>
                <w:b/>
                <w:color w:val="000000"/>
                <w:sz w:val="20"/>
                <w:szCs w:val="20"/>
              </w:rPr>
              <w:t>Valor deste</w:t>
            </w:r>
            <w:r w:rsidRPr="00CB186F">
              <w:rPr>
                <w:rFonts w:ascii="Arial" w:eastAsia="Arial Narrow" w:hAnsi="Arial" w:cs="Arial"/>
                <w:b/>
                <w:color w:val="000000"/>
                <w:sz w:val="20"/>
                <w:szCs w:val="20"/>
              </w:rPr>
              <w:br/>
              <w:t>Crédito (D)</w:t>
            </w:r>
          </w:p>
        </w:tc>
        <w:tc>
          <w:tcPr>
            <w:tcW w:w="1600" w:type="dxa"/>
            <w:gridSpan w:val="2"/>
            <w:shd w:val="clear" w:color="auto" w:fill="auto"/>
            <w:tcMar>
              <w:left w:w="0" w:type="dxa"/>
              <w:right w:w="0" w:type="dxa"/>
            </w:tcMar>
            <w:vAlign w:val="bottom"/>
          </w:tcPr>
          <w:p w:rsidR="0005597C" w:rsidRPr="00CB186F" w:rsidRDefault="0005597C">
            <w:pPr>
              <w:jc w:val="right"/>
              <w:rPr>
                <w:rFonts w:ascii="Arial" w:hAnsi="Arial" w:cs="Arial"/>
                <w:sz w:val="20"/>
                <w:szCs w:val="20"/>
              </w:rPr>
            </w:pPr>
            <w:r w:rsidRPr="00CB186F">
              <w:rPr>
                <w:rFonts w:ascii="Arial" w:eastAsia="Arial Narrow" w:hAnsi="Arial" w:cs="Arial"/>
                <w:b/>
                <w:color w:val="000000"/>
                <w:sz w:val="20"/>
                <w:szCs w:val="20"/>
              </w:rPr>
              <w:t>Dotação Resultante</w:t>
            </w:r>
            <w:r w:rsidRPr="00CB186F">
              <w:rPr>
                <w:rFonts w:ascii="Arial" w:eastAsia="Arial Narrow" w:hAnsi="Arial" w:cs="Arial"/>
                <w:b/>
                <w:color w:val="000000"/>
                <w:sz w:val="20"/>
                <w:szCs w:val="20"/>
              </w:rPr>
              <w:br/>
              <w:t>(E) = B + C + D</w:t>
            </w:r>
          </w:p>
        </w:tc>
        <w:tc>
          <w:tcPr>
            <w:tcW w:w="1719" w:type="dxa"/>
            <w:gridSpan w:val="3"/>
            <w:shd w:val="clear" w:color="auto" w:fill="auto"/>
            <w:tcMar>
              <w:left w:w="0" w:type="dxa"/>
              <w:right w:w="0" w:type="dxa"/>
            </w:tcMar>
            <w:vAlign w:val="bottom"/>
          </w:tcPr>
          <w:p w:rsidR="0005597C" w:rsidRPr="00CB186F" w:rsidRDefault="0005597C">
            <w:pPr>
              <w:jc w:val="right"/>
              <w:rPr>
                <w:rFonts w:ascii="Arial" w:hAnsi="Arial" w:cs="Arial"/>
                <w:sz w:val="20"/>
                <w:szCs w:val="20"/>
              </w:rPr>
            </w:pPr>
            <w:r w:rsidRPr="00CB186F">
              <w:rPr>
                <w:rFonts w:ascii="Arial" w:eastAsia="Arial Narrow" w:hAnsi="Arial" w:cs="Arial"/>
                <w:b/>
                <w:color w:val="000000"/>
                <w:sz w:val="20"/>
                <w:szCs w:val="20"/>
              </w:rPr>
              <w:t>Desvio em Relação à</w:t>
            </w:r>
            <w:r w:rsidRPr="00CB186F">
              <w:rPr>
                <w:rFonts w:ascii="Arial" w:eastAsia="Arial Narrow" w:hAnsi="Arial" w:cs="Arial"/>
                <w:b/>
                <w:color w:val="000000"/>
                <w:sz w:val="20"/>
                <w:szCs w:val="20"/>
              </w:rPr>
              <w:br/>
              <w:t>LOA (F) = (E - A) / A</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10.20415.04.122.0032.216H.0001 - Ajuda de Custo para Moradia ou Auxílio-Moradia a Agentes Públicos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129.600</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103.680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-103.680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-100,00 %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10.30107.06.131.0032.4641.0001 - Publicidade de Utilidade Pública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100.000</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80.000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-80.000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-100,00 %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10.30108.06.181.5116.15ZE.1695 - Construção da Superintendência da Polícia Federal em Pernambuco/PE - No Município de Recife - PE</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984.549</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984.549</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-295.364</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-689.185</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-100,00 %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20.55901.08.244.5131.8893.0001 - Apoio à Organização, à Gestão e à Vigilância Social no Território, no âmbito do Sistema Único de Assistência Social - SUAS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2.387.069</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1.897.069</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-226.120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-1.670.949</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-100,00 %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10.30108.06.181.5116.155H.2762 - Construção da Delegacia de Juiz de Fora/MG - No Município de Juiz de Fora - MG</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1.935.785</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1.935.785</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-384.468</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-1.355.050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196.267</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-89,86 %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10.42206.13.392.5125.20ZI.0001 - Fomento ao Setor Audiovisual (Medida Provisória nº 2.228-1/2001)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5.017.836</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2.995.076</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-2.195.076</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800.000</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-84,06 %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10.22101.20.605.1144.0300.0001 - Subvenção Econômica para Garantia e Sustentação de Preços na Comercialização de Produtos Agropecuários (Lei nº 8.427, de 1992)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527.799.120</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357.278.706</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-149.000.000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-40.000.000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168.278.706</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-68,12 %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10.49202.21.608.5636.21B9.0001 - Promoção e Fortalecimento da Comercialização, do Abastecimento, e do Acesso aos Mercados para a Agricultura Familiar e Povos e Comunidades Tradicionais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1.479.699</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1.453.902</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-825.415</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628.487</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-57,53 %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10.30107.06.122.0032.216H.0001 - Ajuda de Custo para Moradia ou Auxílio-Moradia a Agentes Públicos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1.141.565</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913.252</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-342.469</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570.783</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-50,00 %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10.54101.23.695.2323.21FO.0001 - Planejamento, Inteligência, Inovação e Competitividade no Turismo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10.249.029</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7.174.321</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-994.409</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6.179.912</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-39,70 %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20.55101.08.122.5128.21EL.0001 - Gestão, Administração e Operacionalização do Programa Bolsa Família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34.601.043</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27.500.778</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-3.280.047</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-1.719.953</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22.500.778</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-34,97 %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10.42203.13.391.5125.20ZH.0001 - Preservação do Patrimônio Cultural Brasileiro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2.977.004</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2.322.004</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-15.000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2.307.004</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-22,51 %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10.49202.20.605.5636.2130.0001 - Formação de Estoques Públicos - AGF - Nacional</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292.692.043</w:t>
            </w:r>
          </w:p>
        </w:tc>
        <w:tc>
          <w:tcPr>
            <w:tcW w:w="1601"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253.057.650</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0</w:t>
            </w:r>
          </w:p>
        </w:tc>
        <w:tc>
          <w:tcPr>
            <w:tcW w:w="1600" w:type="dxa"/>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-19.944.215</w:t>
            </w:r>
          </w:p>
        </w:tc>
        <w:tc>
          <w:tcPr>
            <w:tcW w:w="1600" w:type="dxa"/>
            <w:gridSpan w:val="2"/>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233.113.435</w:t>
            </w:r>
          </w:p>
        </w:tc>
        <w:tc>
          <w:tcPr>
            <w:tcW w:w="1719" w:type="dxa"/>
            <w:gridSpan w:val="3"/>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-20,36 %</w:t>
            </w: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3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6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039" w:type="dxa"/>
            <w:shd w:val="clear" w:color="auto" w:fill="auto"/>
          </w:tcPr>
          <w:p w:rsidR="0005597C" w:rsidRPr="00CB186F" w:rsidRDefault="0005597C">
            <w:pPr>
              <w:pStyle w:val="EMPTYCELLSTYLE"/>
              <w:widowControl w:val="0"/>
              <w:rPr>
                <w:rFonts w:ascii="Arial" w:hAnsi="Arial" w:cs="Arial"/>
                <w:sz w:val="20"/>
              </w:rPr>
            </w:pPr>
          </w:p>
        </w:tc>
        <w:tc>
          <w:tcPr>
            <w:tcW w:w="561" w:type="dxa"/>
            <w:shd w:val="clear" w:color="auto" w:fill="auto"/>
          </w:tcPr>
          <w:p w:rsidR="0005597C" w:rsidRPr="00CB186F" w:rsidRDefault="0005597C">
            <w:pPr>
              <w:pStyle w:val="EMPTYCELLSTYLE"/>
              <w:widowControl w:val="0"/>
              <w:rPr>
                <w:rFonts w:ascii="Arial" w:hAnsi="Arial" w:cs="Arial"/>
                <w:sz w:val="20"/>
              </w:rPr>
            </w:pPr>
          </w:p>
        </w:tc>
        <w:tc>
          <w:tcPr>
            <w:tcW w:w="800" w:type="dxa"/>
            <w:shd w:val="clear" w:color="auto" w:fill="auto"/>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20" w:type="dxa"/>
            <w:gridSpan w:val="5"/>
            <w:vMerge w:val="restart"/>
            <w:shd w:val="clear" w:color="auto" w:fill="auto"/>
            <w:tcMar>
              <w:left w:w="0" w:type="dxa"/>
              <w:right w:w="0" w:type="dxa"/>
            </w:tcMar>
          </w:tcPr>
          <w:p w:rsidR="0005597C" w:rsidRPr="00CB186F" w:rsidRDefault="0005597C">
            <w:pPr>
              <w:jc w:val="center"/>
              <w:rPr>
                <w:rFonts w:ascii="Arial" w:hAnsi="Arial" w:cs="Arial"/>
                <w:sz w:val="20"/>
                <w:szCs w:val="20"/>
              </w:rPr>
            </w:pPr>
            <w:r w:rsidRPr="00CB186F">
              <w:rPr>
                <w:rFonts w:ascii="Arial" w:eastAsia="SansSerif" w:hAnsi="Arial" w:cs="Arial"/>
                <w:color w:val="000000"/>
                <w:sz w:val="20"/>
                <w:szCs w:val="20"/>
              </w:rPr>
              <w:t>SIOP - http://www.siop.planejamento.gov.br</w:t>
            </w: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2799" w:type="dxa"/>
            <w:gridSpan w:val="3"/>
            <w:vMerge w:val="restart"/>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SansSerif" w:hAnsi="Arial" w:cs="Arial"/>
                <w:color w:val="000000"/>
                <w:sz w:val="20"/>
                <w:szCs w:val="20"/>
              </w:rPr>
              <w:t>01/10/2024 16:47</w:t>
            </w: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20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05597C" w:rsidRPr="00CB186F" w:rsidRDefault="0005597C">
            <w:pPr>
              <w:jc w:val="right"/>
              <w:rPr>
                <w:rFonts w:ascii="Arial" w:hAnsi="Arial" w:cs="Arial"/>
                <w:sz w:val="20"/>
                <w:szCs w:val="20"/>
              </w:rPr>
            </w:pPr>
            <w:r w:rsidRPr="00CB186F">
              <w:rPr>
                <w:rFonts w:ascii="Arial" w:eastAsia="Arial Narrow" w:hAnsi="Arial" w:cs="Arial"/>
                <w:color w:val="000000"/>
                <w:sz w:val="20"/>
                <w:szCs w:val="20"/>
              </w:rPr>
              <w:t>Página 1 de</w:t>
            </w:r>
          </w:p>
        </w:tc>
        <w:tc>
          <w:tcPr>
            <w:tcW w:w="800" w:type="dxa"/>
            <w:vMerge w:val="restart"/>
            <w:shd w:val="clear" w:color="auto" w:fill="auto"/>
            <w:tcMar>
              <w:left w:w="0" w:type="dxa"/>
              <w:right w:w="0" w:type="dxa"/>
            </w:tcMar>
          </w:tcPr>
          <w:p w:rsidR="0005597C" w:rsidRPr="00CB186F" w:rsidRDefault="0005597C">
            <w:pPr>
              <w:rPr>
                <w:rFonts w:ascii="Arial" w:hAnsi="Arial" w:cs="Arial"/>
                <w:sz w:val="20"/>
                <w:szCs w:val="20"/>
              </w:rPr>
            </w:pPr>
            <w:r w:rsidRPr="00CB186F">
              <w:rPr>
                <w:rFonts w:ascii="Arial" w:eastAsia="Arial Narrow" w:hAnsi="Arial" w:cs="Arial"/>
                <w:color w:val="000000"/>
                <w:sz w:val="20"/>
                <w:szCs w:val="20"/>
              </w:rPr>
              <w:t xml:space="preserve"> 1</w:t>
            </w: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20" w:type="dxa"/>
            <w:gridSpan w:val="5"/>
            <w:vMerge/>
            <w:shd w:val="clear" w:color="auto" w:fill="auto"/>
            <w:tcMar>
              <w:left w:w="0" w:type="dxa"/>
              <w:right w:w="0" w:type="dxa"/>
            </w:tcMar>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tr w:rsidR="0005597C" w:rsidRPr="00CB186F">
        <w:trPr>
          <w:trHeight w:hRule="exact" w:val="40"/>
        </w:trPr>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05597C" w:rsidRPr="00CB186F" w:rsidRDefault="0005597C">
            <w:pPr>
              <w:pStyle w:val="EMPTYCELLSTYLE"/>
              <w:widowControl w:val="0"/>
              <w:rPr>
                <w:rFonts w:ascii="Arial" w:hAnsi="Arial" w:cs="Arial"/>
                <w:sz w:val="20"/>
              </w:rPr>
            </w:pPr>
          </w:p>
        </w:tc>
        <w:tc>
          <w:tcPr>
            <w:tcW w:w="800" w:type="dxa"/>
            <w:vMerge/>
            <w:shd w:val="clear" w:color="auto" w:fill="auto"/>
            <w:tcMar>
              <w:left w:w="0" w:type="dxa"/>
              <w:right w:w="0" w:type="dxa"/>
            </w:tcMar>
          </w:tcPr>
          <w:p w:rsidR="0005597C" w:rsidRPr="00CB186F" w:rsidRDefault="0005597C">
            <w:pPr>
              <w:pStyle w:val="EMPTYCELLSTYLE"/>
              <w:widowControl w:val="0"/>
              <w:rPr>
                <w:rFonts w:ascii="Arial" w:hAnsi="Arial" w:cs="Arial"/>
                <w:sz w:val="20"/>
              </w:rPr>
            </w:pPr>
          </w:p>
        </w:tc>
        <w:tc>
          <w:tcPr>
            <w:tcW w:w="3479" w:type="dxa"/>
            <w:shd w:val="clear" w:color="auto" w:fill="auto"/>
          </w:tcPr>
          <w:p w:rsidR="0005597C" w:rsidRPr="00CB186F" w:rsidRDefault="0005597C">
            <w:pPr>
              <w:pStyle w:val="EMPTYCELLSTYLE"/>
              <w:widowControl w:val="0"/>
              <w:rPr>
                <w:rFonts w:ascii="Arial" w:hAnsi="Arial" w:cs="Arial"/>
                <w:sz w:val="20"/>
              </w:rPr>
            </w:pPr>
          </w:p>
        </w:tc>
        <w:tc>
          <w:tcPr>
            <w:tcW w:w="440"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1121"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779" w:type="dxa"/>
            <w:shd w:val="clear" w:color="auto" w:fill="auto"/>
          </w:tcPr>
          <w:p w:rsidR="0005597C" w:rsidRPr="00CB186F" w:rsidRDefault="0005597C">
            <w:pPr>
              <w:pStyle w:val="EMPTYCELLSTYLE"/>
              <w:widowControl w:val="0"/>
              <w:rPr>
                <w:rFonts w:ascii="Arial" w:hAnsi="Arial" w:cs="Arial"/>
                <w:sz w:val="20"/>
              </w:rPr>
            </w:pPr>
          </w:p>
        </w:tc>
        <w:tc>
          <w:tcPr>
            <w:tcW w:w="821" w:type="dxa"/>
            <w:shd w:val="clear" w:color="auto" w:fill="auto"/>
          </w:tcPr>
          <w:p w:rsidR="0005597C" w:rsidRPr="00CB186F" w:rsidRDefault="0005597C">
            <w:pPr>
              <w:pStyle w:val="EMPTYCELLSTYLE"/>
              <w:widowControl w:val="0"/>
              <w:rPr>
                <w:rFonts w:ascii="Arial" w:hAnsi="Arial" w:cs="Arial"/>
                <w:sz w:val="20"/>
              </w:rPr>
            </w:pPr>
          </w:p>
        </w:tc>
        <w:tc>
          <w:tcPr>
            <w:tcW w:w="1600" w:type="dxa"/>
            <w:shd w:val="clear" w:color="auto" w:fill="auto"/>
          </w:tcPr>
          <w:p w:rsidR="0005597C" w:rsidRPr="00CB186F" w:rsidRDefault="0005597C">
            <w:pPr>
              <w:pStyle w:val="EMPTYCELLSTYLE"/>
              <w:widowControl w:val="0"/>
              <w:rPr>
                <w:rFonts w:ascii="Arial" w:hAnsi="Arial" w:cs="Arial"/>
                <w:sz w:val="20"/>
              </w:rPr>
            </w:pPr>
          </w:p>
        </w:tc>
        <w:tc>
          <w:tcPr>
            <w:tcW w:w="480" w:type="dxa"/>
            <w:shd w:val="clear" w:color="auto" w:fill="auto"/>
          </w:tcPr>
          <w:p w:rsidR="0005597C" w:rsidRPr="00CB186F" w:rsidRDefault="0005597C">
            <w:pPr>
              <w:pStyle w:val="EMPTYCELLSTYLE"/>
              <w:widowControl w:val="0"/>
              <w:rPr>
                <w:rFonts w:ascii="Arial" w:hAnsi="Arial" w:cs="Arial"/>
                <w:sz w:val="20"/>
              </w:rPr>
            </w:pPr>
          </w:p>
        </w:tc>
        <w:tc>
          <w:tcPr>
            <w:tcW w:w="1120" w:type="dxa"/>
            <w:shd w:val="clear" w:color="auto" w:fill="auto"/>
          </w:tcPr>
          <w:p w:rsidR="0005597C" w:rsidRPr="00CB186F" w:rsidRDefault="0005597C">
            <w:pPr>
              <w:pStyle w:val="EMPTYCELLSTYLE"/>
              <w:widowControl w:val="0"/>
              <w:rPr>
                <w:rFonts w:ascii="Arial" w:hAnsi="Arial" w:cs="Arial"/>
                <w:sz w:val="20"/>
              </w:rPr>
            </w:pPr>
          </w:p>
        </w:tc>
        <w:tc>
          <w:tcPr>
            <w:tcW w:w="919" w:type="dxa"/>
            <w:shd w:val="clear" w:color="auto" w:fill="auto"/>
          </w:tcPr>
          <w:p w:rsidR="0005597C" w:rsidRPr="00CB186F" w:rsidRDefault="0005597C">
            <w:pPr>
              <w:pStyle w:val="EMPTYCELLSTYLE"/>
              <w:widowControl w:val="0"/>
              <w:rPr>
                <w:rFonts w:ascii="Arial" w:hAnsi="Arial" w:cs="Arial"/>
                <w:sz w:val="20"/>
              </w:rPr>
            </w:pPr>
          </w:p>
        </w:tc>
        <w:tc>
          <w:tcPr>
            <w:tcW w:w="76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c>
          <w:tcPr>
            <w:tcW w:w="40" w:type="dxa"/>
            <w:shd w:val="clear" w:color="auto" w:fill="auto"/>
          </w:tcPr>
          <w:p w:rsidR="0005597C" w:rsidRPr="00CB186F" w:rsidRDefault="0005597C">
            <w:pPr>
              <w:pStyle w:val="EMPTYCELLSTYLE"/>
              <w:widowControl w:val="0"/>
              <w:rPr>
                <w:rFonts w:ascii="Arial" w:hAnsi="Arial" w:cs="Arial"/>
                <w:sz w:val="20"/>
              </w:rPr>
            </w:pPr>
          </w:p>
        </w:tc>
      </w:tr>
      <w:bookmarkEnd w:id="0"/>
    </w:tbl>
    <w:p w:rsidR="0005597C" w:rsidRPr="00CB186F" w:rsidRDefault="0005597C">
      <w:pPr>
        <w:rPr>
          <w:rFonts w:ascii="Arial" w:hAnsi="Arial" w:cs="Arial"/>
          <w:sz w:val="20"/>
          <w:szCs w:val="20"/>
        </w:rPr>
      </w:pPr>
    </w:p>
    <w:sectPr w:rsidR="0005597C" w:rsidRPr="00CB186F" w:rsidSect="0005597C">
      <w:pgSz w:w="16838" w:h="11906" w:orient="landscape"/>
      <w:pgMar w:top="1134" w:right="1134" w:bottom="1134" w:left="2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6B" w:rsidRDefault="0005597C">
      <w:r>
        <w:separator/>
      </w:r>
    </w:p>
  </w:endnote>
  <w:endnote w:type="continuationSeparator" w:id="0">
    <w:p w:rsidR="00FC216B" w:rsidRDefault="0005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Thorndale">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0"/>
    <w:family w:val="auto"/>
    <w:pitch w:val="variable"/>
  </w:font>
  <w:font w:name="font314">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6B" w:rsidRDefault="0005597C">
      <w:r>
        <w:rPr>
          <w:color w:val="000000"/>
        </w:rPr>
        <w:separator/>
      </w:r>
    </w:p>
  </w:footnote>
  <w:footnote w:type="continuationSeparator" w:id="0">
    <w:p w:rsidR="00FC216B" w:rsidRDefault="00055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6C"/>
    <w:rsid w:val="0005597C"/>
    <w:rsid w:val="00CB186F"/>
    <w:rsid w:val="00EA706C"/>
    <w:rsid w:val="00FC21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213C022-48BF-473D-901D-4E0C9175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05597C"/>
    <w:pPr>
      <w:widowControl/>
      <w:suppressAutoHyphens/>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2307</Words>
  <Characters>12463</Characters>
  <Application>Microsoft Office Word</Application>
  <DocSecurity>4</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2024-10-11T20:01:00Z</dcterms:created>
  <dcterms:modified xsi:type="dcterms:W3CDTF">2024-10-11T20:01:00Z</dcterms:modified>
</cp:coreProperties>
</file>