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533" w:rsidRPr="00330EB0" w:rsidRDefault="006F4533">
      <w:pPr>
        <w:pStyle w:val="Textbody"/>
        <w:rPr>
          <w:rFonts w:ascii="Arial" w:hAnsi="Arial" w:cs="Arial"/>
          <w:sz w:val="20"/>
          <w:szCs w:val="20"/>
        </w:rPr>
      </w:pPr>
      <w:bookmarkStart w:id="0" w:name="_GoBack"/>
    </w:p>
    <w:p w:rsidR="006F4533" w:rsidRPr="00330EB0" w:rsidRDefault="00B77AF0">
      <w:pPr>
        <w:pStyle w:val="Textbody"/>
        <w:spacing w:before="567" w:after="0"/>
        <w:ind w:left="680"/>
        <w:rPr>
          <w:rFonts w:ascii="Arial" w:hAnsi="Arial" w:cs="Arial"/>
          <w:sz w:val="20"/>
          <w:szCs w:val="20"/>
        </w:rPr>
      </w:pPr>
      <w:r w:rsidRPr="00330EB0">
        <w:rPr>
          <w:rFonts w:ascii="Arial" w:hAnsi="Arial" w:cs="Arial"/>
          <w:sz w:val="20"/>
          <w:szCs w:val="20"/>
        </w:rPr>
        <w:t>EM n</w:t>
      </w:r>
      <w:r w:rsidRPr="00330EB0">
        <w:rPr>
          <w:rFonts w:ascii="Arial" w:hAnsi="Arial" w:cs="Arial"/>
          <w:strike/>
          <w:sz w:val="20"/>
          <w:szCs w:val="20"/>
        </w:rPr>
        <w:t>º</w:t>
      </w:r>
      <w:r w:rsidRPr="00330EB0">
        <w:rPr>
          <w:rFonts w:ascii="Arial" w:hAnsi="Arial" w:cs="Arial"/>
          <w:sz w:val="20"/>
          <w:szCs w:val="20"/>
        </w:rPr>
        <w:t xml:space="preserve"> 00075/2024 MPO</w:t>
      </w:r>
    </w:p>
    <w:p w:rsidR="006F4533" w:rsidRPr="00330EB0" w:rsidRDefault="00B77AF0">
      <w:pPr>
        <w:pStyle w:val="Textbody"/>
        <w:rPr>
          <w:rFonts w:ascii="Arial" w:hAnsi="Arial" w:cs="Arial"/>
          <w:sz w:val="20"/>
          <w:szCs w:val="20"/>
        </w:rPr>
      </w:pPr>
      <w:r w:rsidRPr="00330EB0">
        <w:rPr>
          <w:rFonts w:ascii="Arial" w:hAnsi="Arial" w:cs="Arial"/>
          <w:sz w:val="20"/>
          <w:szCs w:val="20"/>
        </w:rPr>
        <w:t> </w:t>
      </w:r>
    </w:p>
    <w:p w:rsidR="006F4533" w:rsidRPr="00330EB0" w:rsidRDefault="00B77AF0">
      <w:pPr>
        <w:pStyle w:val="PreformattedText"/>
        <w:spacing w:after="1701"/>
        <w:jc w:val="right"/>
        <w:rPr>
          <w:rFonts w:ascii="Arial" w:hAnsi="Arial" w:cs="Arial"/>
        </w:rPr>
      </w:pPr>
      <w:r w:rsidRPr="00330EB0">
        <w:rPr>
          <w:rFonts w:ascii="Arial" w:hAnsi="Arial" w:cs="Arial"/>
        </w:rPr>
        <w:t>Brasília, 11 de Setembro de 2024</w:t>
      </w:r>
    </w:p>
    <w:p w:rsidR="006F4533" w:rsidRPr="00330EB0" w:rsidRDefault="00B77AF0">
      <w:pPr>
        <w:pStyle w:val="Textbody"/>
        <w:spacing w:before="113" w:after="567"/>
        <w:ind w:firstLine="1134"/>
        <w:rPr>
          <w:rFonts w:ascii="Arial" w:hAnsi="Arial" w:cs="Arial"/>
          <w:sz w:val="20"/>
          <w:szCs w:val="20"/>
        </w:rPr>
      </w:pPr>
      <w:r w:rsidRPr="00330EB0">
        <w:rPr>
          <w:rFonts w:ascii="Arial" w:hAnsi="Arial" w:cs="Arial"/>
          <w:sz w:val="20"/>
          <w:szCs w:val="20"/>
        </w:rPr>
        <w:t>Senhor Presidente da República,</w:t>
      </w:r>
    </w:p>
    <w:p w:rsidR="006F4533" w:rsidRPr="00330EB0" w:rsidRDefault="00B77AF0">
      <w:pPr>
        <w:pStyle w:val="Textbody"/>
        <w:spacing w:after="200"/>
        <w:jc w:val="both"/>
        <w:rPr>
          <w:rFonts w:ascii="Arial" w:hAnsi="Arial" w:cs="Arial"/>
          <w:sz w:val="20"/>
          <w:szCs w:val="20"/>
        </w:rPr>
      </w:pPr>
      <w:r w:rsidRPr="00330EB0">
        <w:rPr>
          <w:rFonts w:ascii="Arial" w:hAnsi="Arial" w:cs="Arial"/>
          <w:sz w:val="20"/>
          <w:szCs w:val="20"/>
        </w:rPr>
        <w:t>1.                Proponho a abertura de crédito suplementar ao Orçamento Fiscal da União (Lei nº 14.822, de 22 de janeiro de 2024), no valor de R$ 37.423.257,00 (trinta e sete milhões, quatrocentos e vinte e três mil, duzentos e cinquenta e sete reais), em favor dos Ministérios do Trabalho e Emprego, e do Planejamento e Orçamento, conforme Quadro anexo a esta Exposição de Motivos.</w:t>
      </w:r>
    </w:p>
    <w:p w:rsidR="006F4533" w:rsidRPr="00330EB0" w:rsidRDefault="00B77AF0">
      <w:pPr>
        <w:pStyle w:val="Textbody"/>
        <w:spacing w:after="200"/>
        <w:jc w:val="both"/>
        <w:rPr>
          <w:rFonts w:ascii="Arial" w:hAnsi="Arial" w:cs="Arial"/>
          <w:sz w:val="20"/>
          <w:szCs w:val="20"/>
        </w:rPr>
      </w:pPr>
      <w:r w:rsidRPr="00330EB0">
        <w:rPr>
          <w:rFonts w:ascii="Arial" w:hAnsi="Arial" w:cs="Arial"/>
          <w:sz w:val="20"/>
          <w:szCs w:val="20"/>
        </w:rPr>
        <w:t>2.                O crédito em pauta tem por objetivo viabilizar:</w:t>
      </w:r>
    </w:p>
    <w:p w:rsidR="006F4533" w:rsidRPr="00330EB0" w:rsidRDefault="00B77AF0">
      <w:pPr>
        <w:pStyle w:val="Textbody"/>
        <w:spacing w:after="200"/>
        <w:ind w:firstLine="1134"/>
        <w:jc w:val="both"/>
        <w:rPr>
          <w:rFonts w:ascii="Arial" w:hAnsi="Arial" w:cs="Arial"/>
          <w:sz w:val="20"/>
          <w:szCs w:val="20"/>
        </w:rPr>
      </w:pPr>
      <w:r w:rsidRPr="00330EB0">
        <w:rPr>
          <w:rFonts w:ascii="Arial" w:hAnsi="Arial" w:cs="Arial"/>
          <w:sz w:val="20"/>
          <w:szCs w:val="20"/>
        </w:rPr>
        <w:t>                    a) Ministério do Trabalho e Emprego:</w:t>
      </w:r>
    </w:p>
    <w:p w:rsidR="006F4533" w:rsidRPr="00330EB0" w:rsidRDefault="00B77AF0">
      <w:pPr>
        <w:pStyle w:val="Textbody"/>
        <w:spacing w:after="200"/>
        <w:ind w:firstLine="1134"/>
        <w:jc w:val="both"/>
        <w:rPr>
          <w:rFonts w:ascii="Arial" w:hAnsi="Arial" w:cs="Arial"/>
          <w:sz w:val="20"/>
          <w:szCs w:val="20"/>
        </w:rPr>
      </w:pPr>
      <w:r w:rsidRPr="00330EB0">
        <w:rPr>
          <w:rFonts w:ascii="Arial" w:hAnsi="Arial" w:cs="Arial"/>
          <w:sz w:val="20"/>
          <w:szCs w:val="20"/>
        </w:rPr>
        <w:t>- Administração Direta, a execução da ação de “Fomento e Fortalecimento da Economia Solidária, Associativismo e Cooperativismo”, a fim de realizar chamada pública para seleção e apoio direto a 200 empreendimentos organizados em dez novas redes de cooperação solidária presente em todo o território nacional; e</w:t>
      </w:r>
    </w:p>
    <w:p w:rsidR="006F4533" w:rsidRPr="00330EB0" w:rsidRDefault="00B77AF0">
      <w:pPr>
        <w:pStyle w:val="Textbody"/>
        <w:spacing w:after="200"/>
        <w:ind w:firstLine="1134"/>
        <w:jc w:val="both"/>
        <w:rPr>
          <w:rFonts w:ascii="Arial" w:hAnsi="Arial" w:cs="Arial"/>
          <w:sz w:val="20"/>
          <w:szCs w:val="20"/>
        </w:rPr>
      </w:pPr>
      <w:r w:rsidRPr="00330EB0">
        <w:rPr>
          <w:rFonts w:ascii="Arial" w:hAnsi="Arial" w:cs="Arial"/>
          <w:sz w:val="20"/>
          <w:szCs w:val="20"/>
        </w:rPr>
        <w:lastRenderedPageBreak/>
        <w:t>                    b) Ministério do Planejamento e Orçamento:</w:t>
      </w:r>
    </w:p>
    <w:p w:rsidR="006F4533" w:rsidRPr="00330EB0" w:rsidRDefault="00B77AF0">
      <w:pPr>
        <w:pStyle w:val="Textbody"/>
        <w:spacing w:after="200"/>
        <w:ind w:firstLine="1134"/>
        <w:jc w:val="both"/>
        <w:rPr>
          <w:rFonts w:ascii="Arial" w:hAnsi="Arial" w:cs="Arial"/>
          <w:sz w:val="20"/>
          <w:szCs w:val="20"/>
        </w:rPr>
      </w:pPr>
      <w:r w:rsidRPr="00330EB0">
        <w:rPr>
          <w:rFonts w:ascii="Arial" w:hAnsi="Arial" w:cs="Arial"/>
          <w:sz w:val="20"/>
          <w:szCs w:val="20"/>
        </w:rPr>
        <w:t>- Fundação Instituto Brasileiro de Geografia e Estatística - IBGE, o atendimento de despesas de coleta em campo necessárias para diversas pesquisas do IBGE e, consequentemente, para a produção e divulgação de informações socioeconômicas utilizadas por órgãos federais, estaduais e municipais.</w:t>
      </w:r>
    </w:p>
    <w:p w:rsidR="006F4533" w:rsidRPr="00330EB0" w:rsidRDefault="00B77AF0">
      <w:pPr>
        <w:pStyle w:val="Textbody"/>
        <w:spacing w:after="200"/>
        <w:jc w:val="both"/>
        <w:rPr>
          <w:rFonts w:ascii="Arial" w:hAnsi="Arial" w:cs="Arial"/>
          <w:sz w:val="20"/>
          <w:szCs w:val="20"/>
        </w:rPr>
      </w:pPr>
      <w:r w:rsidRPr="00330EB0">
        <w:rPr>
          <w:rFonts w:ascii="Arial" w:hAnsi="Arial" w:cs="Arial"/>
          <w:sz w:val="20"/>
          <w:szCs w:val="20"/>
        </w:rPr>
        <w:t>3.                O pleito em referência será viabilizado mediante Projeto de Lei, à conta da anulação de dotações orçamentárias, observado o disposto no art. 43, § 1º, inciso III, da Lei nº 4.320, de 17 de março de 1964, em conformidade com as prescrições do art. 167, inciso V, da Constituição.</w:t>
      </w:r>
    </w:p>
    <w:p w:rsidR="006F4533" w:rsidRPr="00330EB0" w:rsidRDefault="00B77AF0">
      <w:pPr>
        <w:pStyle w:val="Textbody"/>
        <w:spacing w:after="200"/>
        <w:jc w:val="both"/>
        <w:rPr>
          <w:rFonts w:ascii="Arial" w:hAnsi="Arial" w:cs="Arial"/>
          <w:sz w:val="20"/>
          <w:szCs w:val="20"/>
        </w:rPr>
      </w:pPr>
      <w:r w:rsidRPr="00330EB0">
        <w:rPr>
          <w:rFonts w:ascii="Arial" w:hAnsi="Arial" w:cs="Arial"/>
          <w:sz w:val="20"/>
          <w:szCs w:val="20"/>
        </w:rPr>
        <w:t>4.                Em relação ao que dispõe o art. 54, § 4º, da Lei nº 14.791, de 29 de dezembro de 2023, Lei de Diretrizes Orçamentárias para 2024, LDO-2024, quanto à obtenção da meta de resultado primário fixada para o corrente exercício, bem como aos limites individualizados para as despesas primárias, conforme o art. 3º da Lei Complementar nº 200, de 30 de agosto de 2023, vale informar que o crédito em questão está de acordo com o teor dos citados dispositivos, tendo em vista se tratar de remanejamento entre despesas primárias discricionárias, não ampliando o montante dessas despesas.</w:t>
      </w:r>
    </w:p>
    <w:p w:rsidR="006F4533" w:rsidRPr="00330EB0" w:rsidRDefault="00B77AF0">
      <w:pPr>
        <w:pStyle w:val="Textbody"/>
        <w:spacing w:after="200"/>
        <w:jc w:val="both"/>
        <w:rPr>
          <w:rFonts w:ascii="Arial" w:hAnsi="Arial" w:cs="Arial"/>
          <w:sz w:val="20"/>
          <w:szCs w:val="20"/>
        </w:rPr>
      </w:pPr>
      <w:r w:rsidRPr="00330EB0">
        <w:rPr>
          <w:rFonts w:ascii="Arial" w:hAnsi="Arial" w:cs="Arial"/>
          <w:sz w:val="20"/>
          <w:szCs w:val="20"/>
        </w:rPr>
        <w:t>5.                No que diz respeito ao disposto no inciso III do caput do art. 167 da Constituição Federal, "Regra de Ouro", informa-se que a alteração proposta reduz gastos com investimentos (GND 4) sem a correspondente redução da estimativa de receitas com operações de crédito, afetando negativamente o cumprimento da Regra. Contudo, vale esclarecer que não restam mais receitas de operações de crédito condicionadas na LOA-2024, o que afasta a aplicação do disposto no § 1º do art. 64 da LDO-2024, devendo-</w:t>
      </w:r>
      <w:r w:rsidRPr="00330EB0">
        <w:rPr>
          <w:rFonts w:ascii="Arial" w:hAnsi="Arial" w:cs="Arial"/>
          <w:sz w:val="20"/>
          <w:szCs w:val="20"/>
        </w:rPr>
        <w:lastRenderedPageBreak/>
        <w:t>se observar o disposto no § 2º do referido artigo, o qual dispõe que, após a redução do total de despesas condicionadas na forma prevista no § 3º do art. 22 da LDO-2024, eventual diferença entre as receitas de operações de crédito e as despesas de capital deverá ser adequada até o encerramento do exercício.</w:t>
      </w:r>
    </w:p>
    <w:p w:rsidR="006F4533" w:rsidRPr="00330EB0" w:rsidRDefault="00B77AF0">
      <w:pPr>
        <w:pStyle w:val="Textbody"/>
        <w:spacing w:after="200"/>
        <w:jc w:val="both"/>
        <w:rPr>
          <w:rFonts w:ascii="Arial" w:hAnsi="Arial" w:cs="Arial"/>
          <w:sz w:val="20"/>
          <w:szCs w:val="20"/>
        </w:rPr>
      </w:pPr>
      <w:r w:rsidRPr="00330EB0">
        <w:rPr>
          <w:rFonts w:ascii="Arial" w:hAnsi="Arial" w:cs="Arial"/>
          <w:sz w:val="20"/>
          <w:szCs w:val="20"/>
        </w:rPr>
        <w:t>6.                Em atendimento ao § 15 do art. 54 da LDO-2024, segue, anexo, o demonstrativo de desvio de valores cancelados que ultrapassam vinte por cento das dotações das respectivas ações.</w:t>
      </w:r>
    </w:p>
    <w:p w:rsidR="006F4533" w:rsidRPr="00330EB0" w:rsidRDefault="00B77AF0">
      <w:pPr>
        <w:pStyle w:val="Textbody"/>
        <w:spacing w:after="200"/>
        <w:jc w:val="both"/>
        <w:rPr>
          <w:rFonts w:ascii="Arial" w:hAnsi="Arial" w:cs="Arial"/>
          <w:sz w:val="20"/>
          <w:szCs w:val="20"/>
        </w:rPr>
      </w:pPr>
      <w:r w:rsidRPr="00330EB0">
        <w:rPr>
          <w:rFonts w:ascii="Arial" w:hAnsi="Arial" w:cs="Arial"/>
          <w:sz w:val="20"/>
          <w:szCs w:val="20"/>
        </w:rPr>
        <w:t>7.                Ressalte-se, por oportuno, que as alterações em pauta decorrem de solicitações formalizadas por meio do Sistema Integrado de Planejamento e Orçamento - SIOP, e, de acordo com os órgãos envolvidos, as programações objeto de cancelamento não sofrerão prejuízos na sua execução, pois os remanejamentos foram decididos com base em projeções de suas possibilidades de dispêndio até o final do exercício atual.</w:t>
      </w:r>
    </w:p>
    <w:p w:rsidR="006F4533" w:rsidRPr="00330EB0" w:rsidRDefault="00B77AF0">
      <w:pPr>
        <w:pStyle w:val="Textbody"/>
        <w:spacing w:after="200"/>
        <w:jc w:val="both"/>
        <w:rPr>
          <w:rFonts w:ascii="Arial" w:hAnsi="Arial" w:cs="Arial"/>
          <w:sz w:val="20"/>
          <w:szCs w:val="20"/>
        </w:rPr>
      </w:pPr>
      <w:r w:rsidRPr="00330EB0">
        <w:rPr>
          <w:rFonts w:ascii="Arial" w:hAnsi="Arial" w:cs="Arial"/>
          <w:sz w:val="20"/>
          <w:szCs w:val="20"/>
        </w:rPr>
        <w:t>8.                Diante do exposto, submeto à sua consideração o anexo Projeto de Lei, que visa efetivar a abertura de crédito suplementar.</w:t>
      </w:r>
    </w:p>
    <w:p w:rsidR="006F4533" w:rsidRPr="00330EB0" w:rsidRDefault="00B77AF0">
      <w:pPr>
        <w:pStyle w:val="Textbody"/>
        <w:spacing w:after="1417"/>
        <w:ind w:firstLine="1134"/>
        <w:rPr>
          <w:rFonts w:ascii="Arial" w:hAnsi="Arial" w:cs="Arial"/>
          <w:sz w:val="20"/>
          <w:szCs w:val="20"/>
        </w:rPr>
      </w:pPr>
      <w:r w:rsidRPr="00330EB0">
        <w:rPr>
          <w:rFonts w:ascii="Arial" w:hAnsi="Arial" w:cs="Arial"/>
          <w:sz w:val="20"/>
          <w:szCs w:val="20"/>
        </w:rPr>
        <w:t>Respeitosamente,</w:t>
      </w:r>
    </w:p>
    <w:p w:rsidR="006F4533" w:rsidRPr="00330EB0" w:rsidRDefault="006F4533">
      <w:pPr>
        <w:pStyle w:val="Textbody"/>
        <w:spacing w:after="0"/>
        <w:jc w:val="center"/>
        <w:rPr>
          <w:rFonts w:ascii="Arial" w:hAnsi="Arial" w:cs="Arial"/>
          <w:sz w:val="20"/>
          <w:szCs w:val="20"/>
        </w:rPr>
      </w:pPr>
    </w:p>
    <w:p w:rsidR="006F4533" w:rsidRPr="00330EB0" w:rsidRDefault="00B77AF0">
      <w:pPr>
        <w:pStyle w:val="Textbody"/>
        <w:rPr>
          <w:rFonts w:ascii="Arial" w:hAnsi="Arial" w:cs="Arial"/>
          <w:sz w:val="20"/>
          <w:szCs w:val="20"/>
        </w:rPr>
      </w:pPr>
      <w:r w:rsidRPr="00330EB0">
        <w:rPr>
          <w:rFonts w:ascii="Arial" w:hAnsi="Arial" w:cs="Arial"/>
          <w:sz w:val="20"/>
          <w:szCs w:val="20"/>
        </w:rPr>
        <w:t> </w:t>
      </w:r>
    </w:p>
    <w:p w:rsidR="006F4533" w:rsidRPr="00330EB0" w:rsidRDefault="00B77AF0">
      <w:pPr>
        <w:pStyle w:val="Textbody"/>
        <w:rPr>
          <w:rFonts w:ascii="Arial" w:hAnsi="Arial" w:cs="Arial"/>
          <w:sz w:val="20"/>
          <w:szCs w:val="20"/>
        </w:rPr>
      </w:pPr>
      <w:r w:rsidRPr="00330EB0">
        <w:rPr>
          <w:rFonts w:ascii="Arial" w:hAnsi="Arial" w:cs="Arial"/>
          <w:sz w:val="20"/>
          <w:szCs w:val="20"/>
        </w:rPr>
        <w:t> </w:t>
      </w: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6F4533" w:rsidRPr="00330EB0" w:rsidRDefault="006F4533">
      <w:pPr>
        <w:pStyle w:val="Standard"/>
        <w:ind w:left="567" w:right="284"/>
        <w:rPr>
          <w:rFonts w:ascii="Arial" w:hAnsi="Arial" w:cs="Arial"/>
          <w:b/>
          <w:sz w:val="20"/>
          <w:szCs w:val="20"/>
        </w:rPr>
      </w:pPr>
    </w:p>
    <w:p w:rsidR="005A3045" w:rsidRPr="00330EB0" w:rsidRDefault="005A3045">
      <w:pPr>
        <w:pStyle w:val="Standard"/>
        <w:ind w:left="567" w:right="284"/>
        <w:rPr>
          <w:rFonts w:ascii="Arial" w:hAnsi="Arial" w:cs="Arial"/>
          <w:b/>
          <w:sz w:val="20"/>
          <w:szCs w:val="20"/>
        </w:rPr>
      </w:pPr>
    </w:p>
    <w:p w:rsidR="00F2384E" w:rsidRPr="00330EB0" w:rsidRDefault="00B77AF0">
      <w:pPr>
        <w:pStyle w:val="Standard"/>
        <w:ind w:left="567" w:right="284"/>
        <w:rPr>
          <w:rFonts w:ascii="Arial" w:hAnsi="Arial" w:cs="Arial"/>
          <w:b/>
          <w:i/>
          <w:sz w:val="20"/>
          <w:szCs w:val="20"/>
        </w:rPr>
        <w:sectPr w:rsidR="00F2384E" w:rsidRPr="00330EB0" w:rsidSect="003034F2">
          <w:pgSz w:w="11906" w:h="16838"/>
          <w:pgMar w:top="1134" w:right="1134" w:bottom="1134" w:left="1134" w:header="720" w:footer="720" w:gutter="0"/>
          <w:cols w:space="720"/>
        </w:sectPr>
      </w:pPr>
      <w:r w:rsidRPr="00330EB0">
        <w:rPr>
          <w:rFonts w:ascii="Arial" w:hAnsi="Arial" w:cs="Arial"/>
          <w:b/>
          <w:i/>
          <w:sz w:val="20"/>
          <w:szCs w:val="20"/>
        </w:rPr>
        <w:t>Assinado eletronicamente por: Simone Tebet</w:t>
      </w:r>
    </w:p>
    <w:p w:rsidR="00F2384E" w:rsidRPr="00330EB0" w:rsidRDefault="00F2384E">
      <w:pPr>
        <w:pStyle w:val="SemEspaamento2"/>
        <w:jc w:val="center"/>
        <w:rPr>
          <w:rFonts w:ascii="Arial" w:eastAsia="font319" w:hAnsi="Arial" w:cs="Arial"/>
          <w:sz w:val="20"/>
        </w:rPr>
      </w:pPr>
      <w:r w:rsidRPr="00330EB0">
        <w:rPr>
          <w:rFonts w:ascii="Arial" w:eastAsia="font319" w:hAnsi="Arial" w:cs="Arial"/>
          <w:sz w:val="20"/>
        </w:rPr>
        <w:lastRenderedPageBreak/>
        <w:t xml:space="preserve">QUADRO ANEXO À EXPOSIÇÃO DE MOTIVOS DO MINISTÉRIO DO PLANEJAMENTO E ORÇAMENTO Nº </w:t>
      </w:r>
      <w:bookmarkStart w:id="1" w:name="_Int_uRfa1lFM"/>
      <w:r w:rsidRPr="00330EB0">
        <w:rPr>
          <w:rFonts w:ascii="Arial" w:eastAsia="font319" w:hAnsi="Arial" w:cs="Arial"/>
          <w:sz w:val="20"/>
        </w:rPr>
        <w:t>75,</w:t>
      </w:r>
      <w:bookmarkEnd w:id="1"/>
      <w:r w:rsidRPr="00330EB0">
        <w:rPr>
          <w:rFonts w:ascii="Arial" w:eastAsia="font319" w:hAnsi="Arial" w:cs="Arial"/>
          <w:sz w:val="20"/>
        </w:rPr>
        <w:t xml:space="preserve"> DE 11/09/2024</w:t>
      </w:r>
    </w:p>
    <w:p w:rsidR="00F2384E" w:rsidRPr="00330EB0" w:rsidRDefault="00F2384E">
      <w:pPr>
        <w:jc w:val="right"/>
        <w:rPr>
          <w:rFonts w:ascii="Arial" w:eastAsia="font319" w:hAnsi="Arial" w:cs="Arial"/>
          <w:sz w:val="20"/>
          <w:szCs w:val="20"/>
        </w:rPr>
      </w:pPr>
    </w:p>
    <w:p w:rsidR="00F2384E" w:rsidRPr="00330EB0" w:rsidRDefault="00F2384E">
      <w:pPr>
        <w:jc w:val="right"/>
        <w:rPr>
          <w:rFonts w:ascii="Arial" w:eastAsia="font319" w:hAnsi="Arial" w:cs="Arial"/>
          <w:sz w:val="20"/>
          <w:szCs w:val="20"/>
        </w:rPr>
      </w:pPr>
    </w:p>
    <w:p w:rsidR="00F2384E" w:rsidRPr="00330EB0" w:rsidRDefault="00F2384E">
      <w:pPr>
        <w:jc w:val="right"/>
        <w:rPr>
          <w:rFonts w:ascii="Arial" w:hAnsi="Arial" w:cs="Arial"/>
          <w:b/>
          <w:bCs/>
          <w:color w:val="000000"/>
          <w:sz w:val="20"/>
          <w:szCs w:val="20"/>
        </w:rPr>
      </w:pPr>
      <w:r w:rsidRPr="00330EB0">
        <w:rPr>
          <w:rFonts w:ascii="Arial" w:eastAsia="font319" w:hAnsi="Arial" w:cs="Arial"/>
          <w:sz w:val="20"/>
          <w:szCs w:val="20"/>
        </w:rPr>
        <w:t xml:space="preserve">  R$ 1,00</w:t>
      </w:r>
    </w:p>
    <w:tbl>
      <w:tblPr>
        <w:tblW w:w="0" w:type="auto"/>
        <w:tblInd w:w="140" w:type="dxa"/>
        <w:tblLayout w:type="fixed"/>
        <w:tblCellMar>
          <w:left w:w="70" w:type="dxa"/>
          <w:right w:w="70" w:type="dxa"/>
        </w:tblCellMar>
        <w:tblLook w:val="0000" w:firstRow="0" w:lastRow="0" w:firstColumn="0" w:lastColumn="0" w:noHBand="0" w:noVBand="0"/>
      </w:tblPr>
      <w:tblGrid>
        <w:gridCol w:w="6279"/>
        <w:gridCol w:w="1716"/>
        <w:gridCol w:w="1550"/>
      </w:tblGrid>
      <w:tr w:rsidR="00F2384E" w:rsidRPr="00330EB0">
        <w:trPr>
          <w:trHeight w:val="630"/>
        </w:trPr>
        <w:tc>
          <w:tcPr>
            <w:tcW w:w="6279" w:type="dxa"/>
            <w:tcBorders>
              <w:top w:val="single" w:sz="4" w:space="0" w:color="000000"/>
              <w:bottom w:val="single" w:sz="4" w:space="0" w:color="000000"/>
              <w:right w:val="single" w:sz="4" w:space="0" w:color="000000"/>
            </w:tcBorders>
            <w:shd w:val="clear" w:color="auto" w:fill="FFFFFF"/>
            <w:vAlign w:val="center"/>
          </w:tcPr>
          <w:p w:rsidR="00F2384E" w:rsidRPr="00330EB0" w:rsidRDefault="00F2384E">
            <w:pPr>
              <w:jc w:val="center"/>
              <w:rPr>
                <w:rFonts w:ascii="Arial" w:hAnsi="Arial" w:cs="Arial"/>
                <w:sz w:val="20"/>
                <w:szCs w:val="20"/>
              </w:rPr>
            </w:pPr>
            <w:r w:rsidRPr="00330EB0">
              <w:rPr>
                <w:rFonts w:ascii="Arial" w:hAnsi="Arial" w:cs="Arial"/>
                <w:b/>
                <w:bCs/>
                <w:color w:val="000000"/>
                <w:sz w:val="20"/>
                <w:szCs w:val="20"/>
              </w:rPr>
              <w:t>Discriminação</w:t>
            </w:r>
          </w:p>
        </w:tc>
        <w:tc>
          <w:tcPr>
            <w:tcW w:w="1716" w:type="dxa"/>
            <w:tcBorders>
              <w:top w:val="single" w:sz="4" w:space="0" w:color="000000"/>
              <w:bottom w:val="single" w:sz="4" w:space="0" w:color="000000"/>
              <w:right w:val="single" w:sz="4" w:space="0" w:color="000000"/>
            </w:tcBorders>
            <w:shd w:val="clear" w:color="auto" w:fill="FFFFFF"/>
            <w:vAlign w:val="center"/>
          </w:tcPr>
          <w:p w:rsidR="00F2384E" w:rsidRPr="00330EB0" w:rsidRDefault="00F2384E">
            <w:pPr>
              <w:jc w:val="center"/>
              <w:rPr>
                <w:rFonts w:ascii="Arial" w:hAnsi="Arial" w:cs="Arial"/>
                <w:sz w:val="20"/>
                <w:szCs w:val="20"/>
              </w:rPr>
            </w:pPr>
            <w:r w:rsidRPr="00330EB0">
              <w:rPr>
                <w:rFonts w:ascii="Arial" w:hAnsi="Arial" w:cs="Arial"/>
                <w:b/>
                <w:bCs/>
                <w:color w:val="000000"/>
                <w:sz w:val="20"/>
                <w:szCs w:val="20"/>
              </w:rPr>
              <w:t>Suplementação</w:t>
            </w:r>
          </w:p>
        </w:tc>
        <w:tc>
          <w:tcPr>
            <w:tcW w:w="1550" w:type="dxa"/>
            <w:tcBorders>
              <w:top w:val="single" w:sz="4" w:space="0" w:color="000000"/>
              <w:bottom w:val="single" w:sz="4" w:space="0" w:color="000000"/>
            </w:tcBorders>
            <w:shd w:val="clear" w:color="auto" w:fill="FFFFFF"/>
            <w:vAlign w:val="center"/>
          </w:tcPr>
          <w:p w:rsidR="00F2384E" w:rsidRPr="00330EB0" w:rsidRDefault="00F2384E">
            <w:pPr>
              <w:jc w:val="center"/>
              <w:rPr>
                <w:rFonts w:ascii="Arial" w:hAnsi="Arial" w:cs="Arial"/>
                <w:sz w:val="20"/>
                <w:szCs w:val="20"/>
              </w:rPr>
            </w:pPr>
            <w:r w:rsidRPr="00330EB0">
              <w:rPr>
                <w:rFonts w:ascii="Arial" w:hAnsi="Arial" w:cs="Arial"/>
                <w:b/>
                <w:bCs/>
                <w:color w:val="000000"/>
                <w:sz w:val="20"/>
                <w:szCs w:val="20"/>
              </w:rPr>
              <w:t>Origem dos Recursos</w:t>
            </w:r>
          </w:p>
        </w:tc>
      </w:tr>
      <w:tr w:rsidR="00F2384E" w:rsidRPr="00330EB0">
        <w:trPr>
          <w:trHeight w:val="284"/>
        </w:trPr>
        <w:tc>
          <w:tcPr>
            <w:tcW w:w="6279" w:type="dxa"/>
            <w:tcBorders>
              <w:right w:val="single" w:sz="4" w:space="0" w:color="000000"/>
            </w:tcBorders>
            <w:shd w:val="clear" w:color="auto" w:fill="FFFFFF"/>
            <w:tcMar>
              <w:left w:w="425" w:type="dxa"/>
            </w:tcMar>
          </w:tcPr>
          <w:p w:rsidR="00F2384E" w:rsidRPr="00330EB0" w:rsidRDefault="00F2384E">
            <w:pPr>
              <w:rPr>
                <w:rFonts w:ascii="Arial" w:hAnsi="Arial" w:cs="Arial"/>
                <w:b/>
                <w:bCs/>
                <w:color w:val="000000"/>
                <w:sz w:val="20"/>
                <w:szCs w:val="20"/>
              </w:rPr>
            </w:pPr>
          </w:p>
        </w:tc>
        <w:tc>
          <w:tcPr>
            <w:tcW w:w="1716" w:type="dxa"/>
            <w:tcBorders>
              <w:right w:val="single" w:sz="4" w:space="0" w:color="000000"/>
            </w:tcBorders>
            <w:shd w:val="clear" w:color="auto" w:fill="FFFFFF"/>
          </w:tcPr>
          <w:p w:rsidR="00F2384E" w:rsidRPr="00330EB0" w:rsidRDefault="00F2384E">
            <w:pPr>
              <w:jc w:val="right"/>
              <w:rPr>
                <w:rFonts w:ascii="Arial" w:hAnsi="Arial" w:cs="Arial"/>
                <w:b/>
                <w:bCs/>
                <w:color w:val="000000"/>
                <w:sz w:val="20"/>
                <w:szCs w:val="20"/>
              </w:rPr>
            </w:pPr>
          </w:p>
        </w:tc>
        <w:tc>
          <w:tcPr>
            <w:tcW w:w="1550" w:type="dxa"/>
            <w:shd w:val="clear" w:color="auto" w:fill="FFFFFF"/>
          </w:tcPr>
          <w:p w:rsidR="00F2384E" w:rsidRPr="00330EB0" w:rsidRDefault="00F2384E">
            <w:pPr>
              <w:jc w:val="right"/>
              <w:rPr>
                <w:rFonts w:ascii="Arial" w:hAnsi="Arial" w:cs="Arial"/>
                <w:b/>
                <w:bCs/>
                <w:color w:val="000000"/>
                <w:sz w:val="20"/>
                <w:szCs w:val="20"/>
              </w:rPr>
            </w:pPr>
          </w:p>
        </w:tc>
      </w:tr>
      <w:tr w:rsidR="00F2384E" w:rsidRPr="00330EB0">
        <w:trPr>
          <w:trHeight w:val="284"/>
        </w:trPr>
        <w:tc>
          <w:tcPr>
            <w:tcW w:w="6279" w:type="dxa"/>
            <w:tcBorders>
              <w:right w:val="single" w:sz="4" w:space="0" w:color="000000"/>
            </w:tcBorders>
            <w:shd w:val="clear" w:color="auto" w:fill="FFFFFF"/>
            <w:tcMar>
              <w:left w:w="425" w:type="dxa"/>
            </w:tcMar>
          </w:tcPr>
          <w:p w:rsidR="00F2384E" w:rsidRPr="00330EB0" w:rsidRDefault="00F2384E">
            <w:pPr>
              <w:rPr>
                <w:rFonts w:ascii="Arial" w:hAnsi="Arial" w:cs="Arial"/>
                <w:sz w:val="20"/>
                <w:szCs w:val="20"/>
              </w:rPr>
            </w:pPr>
            <w:r w:rsidRPr="00330EB0">
              <w:rPr>
                <w:rFonts w:ascii="Arial" w:hAnsi="Arial" w:cs="Arial"/>
                <w:bCs/>
                <w:color w:val="000000"/>
                <w:sz w:val="20"/>
                <w:szCs w:val="20"/>
              </w:rPr>
              <w:t xml:space="preserve">Ministério </w:t>
            </w:r>
            <w:r w:rsidRPr="00330EB0">
              <w:rPr>
                <w:rFonts w:ascii="Arial" w:hAnsi="Arial" w:cs="Arial"/>
                <w:sz w:val="20"/>
                <w:szCs w:val="20"/>
              </w:rPr>
              <w:t>do Trabalho e Emprego</w:t>
            </w:r>
          </w:p>
        </w:tc>
        <w:tc>
          <w:tcPr>
            <w:tcW w:w="1716" w:type="dxa"/>
            <w:tcBorders>
              <w:right w:val="single" w:sz="4" w:space="0" w:color="000000"/>
            </w:tcBorders>
            <w:shd w:val="clear" w:color="auto" w:fill="FFFFFF"/>
          </w:tcPr>
          <w:p w:rsidR="00F2384E" w:rsidRPr="00330EB0" w:rsidRDefault="00F2384E">
            <w:pPr>
              <w:jc w:val="right"/>
              <w:rPr>
                <w:rFonts w:ascii="Arial" w:hAnsi="Arial" w:cs="Arial"/>
                <w:sz w:val="20"/>
                <w:szCs w:val="20"/>
              </w:rPr>
            </w:pPr>
            <w:r w:rsidRPr="00330EB0">
              <w:rPr>
                <w:rFonts w:ascii="Arial" w:hAnsi="Arial" w:cs="Arial"/>
                <w:bCs/>
                <w:color w:val="000000"/>
                <w:sz w:val="20"/>
                <w:szCs w:val="20"/>
              </w:rPr>
              <w:t>10.000.000</w:t>
            </w:r>
          </w:p>
        </w:tc>
        <w:tc>
          <w:tcPr>
            <w:tcW w:w="1550" w:type="dxa"/>
            <w:shd w:val="clear" w:color="auto" w:fill="FFFFFF"/>
          </w:tcPr>
          <w:p w:rsidR="00F2384E" w:rsidRPr="00330EB0" w:rsidRDefault="00F2384E">
            <w:pPr>
              <w:jc w:val="right"/>
              <w:rPr>
                <w:rFonts w:ascii="Arial" w:hAnsi="Arial" w:cs="Arial"/>
                <w:sz w:val="20"/>
                <w:szCs w:val="20"/>
              </w:rPr>
            </w:pPr>
            <w:r w:rsidRPr="00330EB0">
              <w:rPr>
                <w:rFonts w:ascii="Arial" w:hAnsi="Arial" w:cs="Arial"/>
                <w:bCs/>
                <w:color w:val="000000"/>
                <w:sz w:val="20"/>
                <w:szCs w:val="20"/>
              </w:rPr>
              <w:t>0</w:t>
            </w:r>
          </w:p>
        </w:tc>
      </w:tr>
      <w:tr w:rsidR="00F2384E" w:rsidRPr="00330EB0">
        <w:trPr>
          <w:trHeight w:val="284"/>
        </w:trPr>
        <w:tc>
          <w:tcPr>
            <w:tcW w:w="6279" w:type="dxa"/>
            <w:tcBorders>
              <w:right w:val="single" w:sz="4" w:space="0" w:color="000000"/>
            </w:tcBorders>
            <w:shd w:val="clear" w:color="auto" w:fill="FFFFFF"/>
            <w:tcMar>
              <w:left w:w="425" w:type="dxa"/>
            </w:tcMar>
          </w:tcPr>
          <w:p w:rsidR="00F2384E" w:rsidRPr="00330EB0" w:rsidRDefault="00F2384E">
            <w:pPr>
              <w:rPr>
                <w:rFonts w:ascii="Arial" w:hAnsi="Arial" w:cs="Arial"/>
                <w:bCs/>
                <w:color w:val="000000"/>
                <w:sz w:val="20"/>
                <w:szCs w:val="20"/>
              </w:rPr>
            </w:pPr>
          </w:p>
        </w:tc>
        <w:tc>
          <w:tcPr>
            <w:tcW w:w="1716" w:type="dxa"/>
            <w:tcBorders>
              <w:right w:val="single" w:sz="4" w:space="0" w:color="000000"/>
            </w:tcBorders>
            <w:shd w:val="clear" w:color="auto" w:fill="FFFFFF"/>
          </w:tcPr>
          <w:p w:rsidR="00F2384E" w:rsidRPr="00330EB0" w:rsidRDefault="00F2384E">
            <w:pPr>
              <w:jc w:val="right"/>
              <w:rPr>
                <w:rFonts w:ascii="Arial" w:hAnsi="Arial" w:cs="Arial"/>
                <w:bCs/>
                <w:color w:val="000000"/>
                <w:sz w:val="20"/>
                <w:szCs w:val="20"/>
              </w:rPr>
            </w:pPr>
          </w:p>
        </w:tc>
        <w:tc>
          <w:tcPr>
            <w:tcW w:w="1550" w:type="dxa"/>
            <w:shd w:val="clear" w:color="auto" w:fill="FFFFFF"/>
          </w:tcPr>
          <w:p w:rsidR="00F2384E" w:rsidRPr="00330EB0" w:rsidRDefault="00F2384E">
            <w:pPr>
              <w:jc w:val="right"/>
              <w:rPr>
                <w:rFonts w:ascii="Arial" w:hAnsi="Arial" w:cs="Arial"/>
                <w:bCs/>
                <w:color w:val="000000"/>
                <w:sz w:val="20"/>
                <w:szCs w:val="20"/>
              </w:rPr>
            </w:pPr>
          </w:p>
        </w:tc>
      </w:tr>
      <w:tr w:rsidR="00F2384E" w:rsidRPr="00330EB0">
        <w:trPr>
          <w:trHeight w:val="284"/>
        </w:trPr>
        <w:tc>
          <w:tcPr>
            <w:tcW w:w="6279" w:type="dxa"/>
            <w:tcBorders>
              <w:right w:val="single" w:sz="4" w:space="0" w:color="000000"/>
            </w:tcBorders>
            <w:shd w:val="clear" w:color="auto" w:fill="FFFFFF"/>
            <w:tcMar>
              <w:left w:w="425" w:type="dxa"/>
            </w:tcMar>
          </w:tcPr>
          <w:p w:rsidR="00F2384E" w:rsidRPr="00330EB0" w:rsidRDefault="00F2384E">
            <w:pPr>
              <w:rPr>
                <w:rFonts w:ascii="Arial" w:hAnsi="Arial" w:cs="Arial"/>
                <w:sz w:val="20"/>
                <w:szCs w:val="20"/>
              </w:rPr>
            </w:pPr>
            <w:r w:rsidRPr="00330EB0">
              <w:rPr>
                <w:rFonts w:ascii="Arial" w:hAnsi="Arial" w:cs="Arial"/>
                <w:bCs/>
                <w:color w:val="000000"/>
                <w:sz w:val="20"/>
                <w:szCs w:val="20"/>
              </w:rPr>
              <w:t xml:space="preserve">Ministério </w:t>
            </w:r>
            <w:r w:rsidRPr="00330EB0">
              <w:rPr>
                <w:rFonts w:ascii="Arial" w:hAnsi="Arial" w:cs="Arial"/>
                <w:sz w:val="20"/>
                <w:szCs w:val="20"/>
              </w:rPr>
              <w:t>do Planejamento e Orçamento</w:t>
            </w:r>
          </w:p>
        </w:tc>
        <w:tc>
          <w:tcPr>
            <w:tcW w:w="1716" w:type="dxa"/>
            <w:tcBorders>
              <w:right w:val="single" w:sz="4" w:space="0" w:color="000000"/>
            </w:tcBorders>
            <w:shd w:val="clear" w:color="auto" w:fill="FFFFFF"/>
          </w:tcPr>
          <w:p w:rsidR="00F2384E" w:rsidRPr="00330EB0" w:rsidRDefault="00F2384E">
            <w:pPr>
              <w:jc w:val="right"/>
              <w:rPr>
                <w:rFonts w:ascii="Arial" w:hAnsi="Arial" w:cs="Arial"/>
                <w:sz w:val="20"/>
                <w:szCs w:val="20"/>
              </w:rPr>
            </w:pPr>
            <w:r w:rsidRPr="00330EB0">
              <w:rPr>
                <w:rFonts w:ascii="Arial" w:hAnsi="Arial" w:cs="Arial"/>
                <w:bCs/>
                <w:color w:val="000000"/>
                <w:sz w:val="20"/>
                <w:szCs w:val="20"/>
              </w:rPr>
              <w:t>27.423.257</w:t>
            </w:r>
          </w:p>
        </w:tc>
        <w:tc>
          <w:tcPr>
            <w:tcW w:w="1550" w:type="dxa"/>
            <w:shd w:val="clear" w:color="auto" w:fill="FFFFFF"/>
          </w:tcPr>
          <w:p w:rsidR="00F2384E" w:rsidRPr="00330EB0" w:rsidRDefault="00F2384E">
            <w:pPr>
              <w:jc w:val="right"/>
              <w:rPr>
                <w:rFonts w:ascii="Arial" w:hAnsi="Arial" w:cs="Arial"/>
                <w:sz w:val="20"/>
                <w:szCs w:val="20"/>
              </w:rPr>
            </w:pPr>
            <w:r w:rsidRPr="00330EB0">
              <w:rPr>
                <w:rFonts w:ascii="Arial" w:hAnsi="Arial" w:cs="Arial"/>
                <w:bCs/>
                <w:color w:val="000000"/>
                <w:sz w:val="20"/>
                <w:szCs w:val="20"/>
              </w:rPr>
              <w:t>0</w:t>
            </w:r>
          </w:p>
        </w:tc>
      </w:tr>
      <w:tr w:rsidR="00F2384E" w:rsidRPr="00330EB0">
        <w:trPr>
          <w:trHeight w:val="284"/>
        </w:trPr>
        <w:tc>
          <w:tcPr>
            <w:tcW w:w="6279" w:type="dxa"/>
            <w:tcBorders>
              <w:right w:val="single" w:sz="4" w:space="0" w:color="000000"/>
            </w:tcBorders>
            <w:shd w:val="clear" w:color="auto" w:fill="FFFFFF"/>
            <w:tcMar>
              <w:left w:w="425" w:type="dxa"/>
            </w:tcMar>
          </w:tcPr>
          <w:p w:rsidR="00F2384E" w:rsidRPr="00330EB0" w:rsidRDefault="00F2384E">
            <w:pPr>
              <w:rPr>
                <w:rFonts w:ascii="Arial" w:hAnsi="Arial" w:cs="Arial"/>
                <w:bCs/>
                <w:color w:val="000000"/>
                <w:sz w:val="20"/>
                <w:szCs w:val="20"/>
              </w:rPr>
            </w:pPr>
          </w:p>
        </w:tc>
        <w:tc>
          <w:tcPr>
            <w:tcW w:w="1716" w:type="dxa"/>
            <w:tcBorders>
              <w:right w:val="single" w:sz="4" w:space="0" w:color="000000"/>
            </w:tcBorders>
            <w:shd w:val="clear" w:color="auto" w:fill="FFFFFF"/>
          </w:tcPr>
          <w:p w:rsidR="00F2384E" w:rsidRPr="00330EB0" w:rsidRDefault="00F2384E">
            <w:pPr>
              <w:jc w:val="right"/>
              <w:rPr>
                <w:rFonts w:ascii="Arial" w:hAnsi="Arial" w:cs="Arial"/>
                <w:bCs/>
                <w:color w:val="000000"/>
                <w:sz w:val="20"/>
                <w:szCs w:val="20"/>
              </w:rPr>
            </w:pPr>
          </w:p>
        </w:tc>
        <w:tc>
          <w:tcPr>
            <w:tcW w:w="1550" w:type="dxa"/>
            <w:shd w:val="clear" w:color="auto" w:fill="FFFFFF"/>
          </w:tcPr>
          <w:p w:rsidR="00F2384E" w:rsidRPr="00330EB0" w:rsidRDefault="00F2384E">
            <w:pPr>
              <w:jc w:val="right"/>
              <w:rPr>
                <w:rFonts w:ascii="Arial" w:hAnsi="Arial" w:cs="Arial"/>
                <w:sz w:val="20"/>
                <w:szCs w:val="20"/>
              </w:rPr>
            </w:pPr>
          </w:p>
        </w:tc>
      </w:tr>
      <w:tr w:rsidR="00F2384E" w:rsidRPr="00330EB0">
        <w:trPr>
          <w:trHeight w:val="284"/>
        </w:trPr>
        <w:tc>
          <w:tcPr>
            <w:tcW w:w="6279" w:type="dxa"/>
            <w:tcBorders>
              <w:right w:val="single" w:sz="4" w:space="0" w:color="000000"/>
            </w:tcBorders>
            <w:shd w:val="clear" w:color="auto" w:fill="FFFFFF"/>
            <w:tcMar>
              <w:left w:w="425" w:type="dxa"/>
            </w:tcMar>
          </w:tcPr>
          <w:p w:rsidR="00F2384E" w:rsidRPr="00330EB0" w:rsidRDefault="00F2384E">
            <w:pPr>
              <w:rPr>
                <w:rFonts w:ascii="Arial" w:hAnsi="Arial" w:cs="Arial"/>
                <w:sz w:val="20"/>
                <w:szCs w:val="20"/>
              </w:rPr>
            </w:pPr>
            <w:r w:rsidRPr="00330EB0">
              <w:rPr>
                <w:rFonts w:ascii="Arial" w:hAnsi="Arial" w:cs="Arial"/>
                <w:bCs/>
                <w:color w:val="000000"/>
                <w:sz w:val="20"/>
                <w:szCs w:val="20"/>
              </w:rPr>
              <w:t>Ministério da Integração e do Desenvolvimento Regional</w:t>
            </w:r>
          </w:p>
        </w:tc>
        <w:tc>
          <w:tcPr>
            <w:tcW w:w="1716" w:type="dxa"/>
            <w:tcBorders>
              <w:right w:val="single" w:sz="4" w:space="0" w:color="000000"/>
            </w:tcBorders>
            <w:shd w:val="clear" w:color="auto" w:fill="FFFFFF"/>
          </w:tcPr>
          <w:p w:rsidR="00F2384E" w:rsidRPr="00330EB0" w:rsidRDefault="00F2384E">
            <w:pPr>
              <w:jc w:val="right"/>
              <w:rPr>
                <w:rFonts w:ascii="Arial" w:hAnsi="Arial" w:cs="Arial"/>
                <w:sz w:val="20"/>
                <w:szCs w:val="20"/>
              </w:rPr>
            </w:pPr>
            <w:r w:rsidRPr="00330EB0">
              <w:rPr>
                <w:rFonts w:ascii="Arial" w:hAnsi="Arial" w:cs="Arial"/>
                <w:bCs/>
                <w:color w:val="000000"/>
                <w:sz w:val="20"/>
                <w:szCs w:val="20"/>
              </w:rPr>
              <w:t>0</w:t>
            </w:r>
          </w:p>
        </w:tc>
        <w:tc>
          <w:tcPr>
            <w:tcW w:w="1550" w:type="dxa"/>
            <w:shd w:val="clear" w:color="auto" w:fill="FFFFFF"/>
          </w:tcPr>
          <w:p w:rsidR="00F2384E" w:rsidRPr="00330EB0" w:rsidRDefault="00F2384E">
            <w:pPr>
              <w:jc w:val="right"/>
              <w:rPr>
                <w:rFonts w:ascii="Arial" w:hAnsi="Arial" w:cs="Arial"/>
                <w:sz w:val="20"/>
                <w:szCs w:val="20"/>
              </w:rPr>
            </w:pPr>
            <w:r w:rsidRPr="00330EB0">
              <w:rPr>
                <w:rFonts w:ascii="Arial" w:hAnsi="Arial" w:cs="Arial"/>
                <w:sz w:val="20"/>
                <w:szCs w:val="20"/>
              </w:rPr>
              <w:t>37.423.257</w:t>
            </w:r>
          </w:p>
        </w:tc>
      </w:tr>
      <w:tr w:rsidR="00F2384E" w:rsidRPr="00330EB0">
        <w:trPr>
          <w:trHeight w:val="284"/>
        </w:trPr>
        <w:tc>
          <w:tcPr>
            <w:tcW w:w="6279" w:type="dxa"/>
            <w:tcBorders>
              <w:right w:val="single" w:sz="4" w:space="0" w:color="000000"/>
            </w:tcBorders>
            <w:shd w:val="clear" w:color="auto" w:fill="FFFFFF"/>
            <w:tcMar>
              <w:left w:w="425" w:type="dxa"/>
            </w:tcMar>
          </w:tcPr>
          <w:p w:rsidR="00F2384E" w:rsidRPr="00330EB0" w:rsidRDefault="00F2384E">
            <w:pPr>
              <w:rPr>
                <w:rFonts w:ascii="Arial" w:eastAsia="font319" w:hAnsi="Arial" w:cs="Arial"/>
                <w:sz w:val="20"/>
                <w:szCs w:val="20"/>
                <w:lang w:eastAsia="en-US"/>
              </w:rPr>
            </w:pPr>
          </w:p>
        </w:tc>
        <w:tc>
          <w:tcPr>
            <w:tcW w:w="1716" w:type="dxa"/>
            <w:tcBorders>
              <w:right w:val="single" w:sz="4" w:space="0" w:color="000000"/>
            </w:tcBorders>
            <w:shd w:val="clear" w:color="auto" w:fill="FFFFFF"/>
          </w:tcPr>
          <w:p w:rsidR="00F2384E" w:rsidRPr="00330EB0" w:rsidRDefault="00F2384E">
            <w:pPr>
              <w:jc w:val="right"/>
              <w:rPr>
                <w:rFonts w:ascii="Arial" w:eastAsia="font319" w:hAnsi="Arial" w:cs="Arial"/>
                <w:sz w:val="20"/>
                <w:szCs w:val="20"/>
                <w:lang w:eastAsia="en-US"/>
              </w:rPr>
            </w:pPr>
          </w:p>
        </w:tc>
        <w:tc>
          <w:tcPr>
            <w:tcW w:w="1550" w:type="dxa"/>
            <w:shd w:val="clear" w:color="auto" w:fill="FFFFFF"/>
          </w:tcPr>
          <w:p w:rsidR="00F2384E" w:rsidRPr="00330EB0" w:rsidRDefault="00F2384E">
            <w:pPr>
              <w:jc w:val="right"/>
              <w:rPr>
                <w:rFonts w:ascii="Arial" w:eastAsia="font319" w:hAnsi="Arial" w:cs="Arial"/>
                <w:sz w:val="20"/>
                <w:szCs w:val="20"/>
                <w:lang w:eastAsia="en-US"/>
              </w:rPr>
            </w:pPr>
          </w:p>
        </w:tc>
      </w:tr>
      <w:tr w:rsidR="00F2384E" w:rsidRPr="00330EB0">
        <w:trPr>
          <w:trHeight w:val="284"/>
        </w:trPr>
        <w:tc>
          <w:tcPr>
            <w:tcW w:w="6279" w:type="dxa"/>
            <w:tcBorders>
              <w:top w:val="single" w:sz="4" w:space="0" w:color="000000"/>
              <w:bottom w:val="single" w:sz="4" w:space="0" w:color="000000"/>
              <w:right w:val="single" w:sz="4" w:space="0" w:color="000000"/>
            </w:tcBorders>
            <w:shd w:val="clear" w:color="auto" w:fill="FFFFFF"/>
            <w:tcMar>
              <w:left w:w="425" w:type="dxa"/>
            </w:tcMar>
            <w:vAlign w:val="center"/>
          </w:tcPr>
          <w:p w:rsidR="00F2384E" w:rsidRPr="00330EB0" w:rsidRDefault="00F2384E">
            <w:pPr>
              <w:rPr>
                <w:rFonts w:ascii="Arial" w:hAnsi="Arial" w:cs="Arial"/>
                <w:sz w:val="20"/>
                <w:szCs w:val="20"/>
              </w:rPr>
            </w:pPr>
            <w:r w:rsidRPr="00330EB0">
              <w:rPr>
                <w:rFonts w:ascii="Arial" w:hAnsi="Arial" w:cs="Arial"/>
                <w:b/>
                <w:color w:val="000000"/>
                <w:sz w:val="20"/>
                <w:szCs w:val="20"/>
              </w:rPr>
              <w:t>Total</w:t>
            </w:r>
          </w:p>
        </w:tc>
        <w:tc>
          <w:tcPr>
            <w:tcW w:w="1716" w:type="dxa"/>
            <w:tcBorders>
              <w:top w:val="single" w:sz="4" w:space="0" w:color="000000"/>
              <w:bottom w:val="single" w:sz="4" w:space="0" w:color="000000"/>
              <w:right w:val="single" w:sz="4" w:space="0" w:color="000000"/>
            </w:tcBorders>
            <w:shd w:val="clear" w:color="auto" w:fill="FFFFFF"/>
            <w:vAlign w:val="center"/>
          </w:tcPr>
          <w:p w:rsidR="00F2384E" w:rsidRPr="00330EB0" w:rsidRDefault="00F2384E">
            <w:pPr>
              <w:jc w:val="right"/>
              <w:rPr>
                <w:rFonts w:ascii="Arial" w:hAnsi="Arial" w:cs="Arial"/>
                <w:sz w:val="20"/>
                <w:szCs w:val="20"/>
              </w:rPr>
            </w:pPr>
            <w:r w:rsidRPr="00330EB0">
              <w:rPr>
                <w:rFonts w:ascii="Arial" w:hAnsi="Arial" w:cs="Arial"/>
                <w:b/>
                <w:bCs/>
                <w:color w:val="000000"/>
                <w:sz w:val="20"/>
                <w:szCs w:val="20"/>
                <w:shd w:val="clear" w:color="auto" w:fill="F5F5F5"/>
              </w:rPr>
              <w:t>37.423.257</w:t>
            </w:r>
          </w:p>
        </w:tc>
        <w:tc>
          <w:tcPr>
            <w:tcW w:w="1550" w:type="dxa"/>
            <w:tcBorders>
              <w:top w:val="single" w:sz="4" w:space="0" w:color="000000"/>
              <w:bottom w:val="single" w:sz="4" w:space="0" w:color="000000"/>
            </w:tcBorders>
            <w:shd w:val="clear" w:color="auto" w:fill="FFFFFF"/>
            <w:vAlign w:val="center"/>
          </w:tcPr>
          <w:p w:rsidR="00F2384E" w:rsidRPr="00330EB0" w:rsidRDefault="00F2384E">
            <w:pPr>
              <w:jc w:val="right"/>
              <w:rPr>
                <w:rFonts w:ascii="Arial" w:hAnsi="Arial" w:cs="Arial"/>
                <w:sz w:val="20"/>
                <w:szCs w:val="20"/>
              </w:rPr>
            </w:pPr>
            <w:r w:rsidRPr="00330EB0">
              <w:rPr>
                <w:rFonts w:ascii="Arial" w:hAnsi="Arial" w:cs="Arial"/>
                <w:b/>
                <w:bCs/>
                <w:color w:val="000000"/>
                <w:sz w:val="20"/>
                <w:szCs w:val="20"/>
                <w:shd w:val="clear" w:color="auto" w:fill="F5F5F5"/>
              </w:rPr>
              <w:t>37.423.257</w:t>
            </w:r>
          </w:p>
        </w:tc>
      </w:tr>
    </w:tbl>
    <w:p w:rsidR="00F2384E" w:rsidRPr="00330EB0" w:rsidRDefault="00F2384E">
      <w:pPr>
        <w:tabs>
          <w:tab w:val="left" w:pos="426"/>
        </w:tabs>
        <w:rPr>
          <w:rFonts w:ascii="Arial" w:hAnsi="Arial" w:cs="Arial"/>
          <w:sz w:val="20"/>
          <w:szCs w:val="20"/>
        </w:rPr>
      </w:pPr>
    </w:p>
    <w:p w:rsidR="00F2384E" w:rsidRPr="00330EB0" w:rsidRDefault="00F2384E">
      <w:pPr>
        <w:pStyle w:val="Standard"/>
        <w:ind w:left="567" w:right="284"/>
        <w:rPr>
          <w:rFonts w:ascii="Arial" w:hAnsi="Arial" w:cs="Arial"/>
          <w:b/>
          <w:i/>
          <w:sz w:val="20"/>
          <w:szCs w:val="20"/>
        </w:rPr>
        <w:sectPr w:rsidR="00F2384E" w:rsidRPr="00330EB0" w:rsidSect="00434271">
          <w:pgSz w:w="11906" w:h="16838"/>
          <w:pgMar w:top="1134" w:right="1134" w:bottom="1134" w:left="1134" w:header="720" w:footer="720" w:gutter="0"/>
          <w:cols w:space="720"/>
        </w:sectPr>
      </w:pPr>
    </w:p>
    <w:tbl>
      <w:tblPr>
        <w:tblW w:w="16159" w:type="dxa"/>
        <w:tblInd w:w="-426" w:type="dxa"/>
        <w:tblLayout w:type="fixed"/>
        <w:tblCellMar>
          <w:left w:w="10" w:type="dxa"/>
          <w:right w:w="10" w:type="dxa"/>
        </w:tblCellMar>
        <w:tblLook w:val="0000" w:firstRow="0" w:lastRow="0" w:firstColumn="0" w:lastColumn="0" w:noHBand="0" w:noVBand="0"/>
      </w:tblPr>
      <w:tblGrid>
        <w:gridCol w:w="40"/>
        <w:gridCol w:w="40"/>
        <w:gridCol w:w="1039"/>
        <w:gridCol w:w="561"/>
        <w:gridCol w:w="800"/>
        <w:gridCol w:w="3479"/>
        <w:gridCol w:w="440"/>
        <w:gridCol w:w="1600"/>
        <w:gridCol w:w="1121"/>
        <w:gridCol w:w="480"/>
        <w:gridCol w:w="779"/>
        <w:gridCol w:w="821"/>
        <w:gridCol w:w="1600"/>
        <w:gridCol w:w="480"/>
        <w:gridCol w:w="1120"/>
        <w:gridCol w:w="919"/>
        <w:gridCol w:w="760"/>
        <w:gridCol w:w="40"/>
        <w:gridCol w:w="40"/>
      </w:tblGrid>
      <w:tr w:rsidR="00F2384E" w:rsidRPr="00330EB0" w:rsidTr="00F2384E">
        <w:tc>
          <w:tcPr>
            <w:tcW w:w="40" w:type="dxa"/>
            <w:shd w:val="clear" w:color="auto" w:fill="auto"/>
          </w:tcPr>
          <w:p w:rsidR="00F2384E" w:rsidRPr="00330EB0" w:rsidRDefault="00F2384E">
            <w:pPr>
              <w:pStyle w:val="EMPTYCELLSTYLE"/>
              <w:widowControl w:val="0"/>
              <w:rPr>
                <w:rFonts w:ascii="Arial" w:hAnsi="Arial" w:cs="Arial"/>
                <w:sz w:val="20"/>
              </w:rPr>
            </w:pPr>
            <w:bookmarkStart w:id="2" w:name="JR_PAGE_ANCHOR_0_1"/>
            <w:bookmarkEnd w:id="2"/>
          </w:p>
        </w:tc>
        <w:tc>
          <w:tcPr>
            <w:tcW w:w="40" w:type="dxa"/>
            <w:shd w:val="clear" w:color="auto" w:fill="auto"/>
          </w:tcPr>
          <w:p w:rsidR="00F2384E" w:rsidRPr="00330EB0" w:rsidRDefault="00F2384E">
            <w:pPr>
              <w:pStyle w:val="EMPTYCELLSTYLE"/>
              <w:widowControl w:val="0"/>
              <w:rPr>
                <w:rFonts w:ascii="Arial" w:hAnsi="Arial" w:cs="Arial"/>
                <w:sz w:val="20"/>
              </w:rPr>
            </w:pPr>
          </w:p>
        </w:tc>
        <w:tc>
          <w:tcPr>
            <w:tcW w:w="1039" w:type="dxa"/>
            <w:shd w:val="clear" w:color="auto" w:fill="auto"/>
          </w:tcPr>
          <w:p w:rsidR="00F2384E" w:rsidRPr="00330EB0" w:rsidRDefault="00F2384E">
            <w:pPr>
              <w:pStyle w:val="EMPTYCELLSTYLE"/>
              <w:widowControl w:val="0"/>
              <w:rPr>
                <w:rFonts w:ascii="Arial" w:hAnsi="Arial" w:cs="Arial"/>
                <w:sz w:val="20"/>
              </w:rPr>
            </w:pPr>
          </w:p>
        </w:tc>
        <w:tc>
          <w:tcPr>
            <w:tcW w:w="561" w:type="dxa"/>
            <w:shd w:val="clear" w:color="auto" w:fill="auto"/>
          </w:tcPr>
          <w:p w:rsidR="00F2384E" w:rsidRPr="00330EB0" w:rsidRDefault="00F2384E">
            <w:pPr>
              <w:pStyle w:val="EMPTYCELLSTYLE"/>
              <w:widowControl w:val="0"/>
              <w:rPr>
                <w:rFonts w:ascii="Arial" w:hAnsi="Arial" w:cs="Arial"/>
                <w:sz w:val="20"/>
              </w:rPr>
            </w:pPr>
          </w:p>
        </w:tc>
        <w:tc>
          <w:tcPr>
            <w:tcW w:w="800" w:type="dxa"/>
            <w:shd w:val="clear" w:color="auto" w:fill="auto"/>
          </w:tcPr>
          <w:p w:rsidR="00F2384E" w:rsidRPr="00330EB0" w:rsidRDefault="00F2384E">
            <w:pPr>
              <w:pStyle w:val="EMPTYCELLSTYLE"/>
              <w:widowControl w:val="0"/>
              <w:rPr>
                <w:rFonts w:ascii="Arial" w:hAnsi="Arial" w:cs="Arial"/>
                <w:sz w:val="20"/>
              </w:rPr>
            </w:pPr>
          </w:p>
        </w:tc>
        <w:tc>
          <w:tcPr>
            <w:tcW w:w="3479" w:type="dxa"/>
            <w:shd w:val="clear" w:color="auto" w:fill="auto"/>
          </w:tcPr>
          <w:p w:rsidR="00F2384E" w:rsidRPr="00330EB0" w:rsidRDefault="00F2384E">
            <w:pPr>
              <w:pStyle w:val="EMPTYCELLSTYLE"/>
              <w:widowControl w:val="0"/>
              <w:rPr>
                <w:rFonts w:ascii="Arial" w:hAnsi="Arial" w:cs="Arial"/>
                <w:sz w:val="20"/>
              </w:rPr>
            </w:pPr>
          </w:p>
        </w:tc>
        <w:tc>
          <w:tcPr>
            <w:tcW w:w="440"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1121"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779" w:type="dxa"/>
            <w:shd w:val="clear" w:color="auto" w:fill="auto"/>
          </w:tcPr>
          <w:p w:rsidR="00F2384E" w:rsidRPr="00330EB0" w:rsidRDefault="00F2384E">
            <w:pPr>
              <w:pStyle w:val="EMPTYCELLSTYLE"/>
              <w:widowControl w:val="0"/>
              <w:rPr>
                <w:rFonts w:ascii="Arial" w:hAnsi="Arial" w:cs="Arial"/>
                <w:sz w:val="20"/>
              </w:rPr>
            </w:pP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1120" w:type="dxa"/>
            <w:shd w:val="clear" w:color="auto" w:fill="auto"/>
          </w:tcPr>
          <w:p w:rsidR="00F2384E" w:rsidRPr="00330EB0" w:rsidRDefault="00F2384E">
            <w:pPr>
              <w:pStyle w:val="EMPTYCELLSTYLE"/>
              <w:widowControl w:val="0"/>
              <w:rPr>
                <w:rFonts w:ascii="Arial" w:hAnsi="Arial" w:cs="Arial"/>
                <w:sz w:val="20"/>
              </w:rPr>
            </w:pPr>
          </w:p>
        </w:tc>
        <w:tc>
          <w:tcPr>
            <w:tcW w:w="919" w:type="dxa"/>
            <w:shd w:val="clear" w:color="auto" w:fill="auto"/>
          </w:tcPr>
          <w:p w:rsidR="00F2384E" w:rsidRPr="00330EB0" w:rsidRDefault="00F2384E">
            <w:pPr>
              <w:pStyle w:val="EMPTYCELLSTYLE"/>
              <w:widowControl w:val="0"/>
              <w:rPr>
                <w:rFonts w:ascii="Arial" w:hAnsi="Arial" w:cs="Arial"/>
                <w:sz w:val="20"/>
              </w:rPr>
            </w:pPr>
          </w:p>
        </w:tc>
        <w:tc>
          <w:tcPr>
            <w:tcW w:w="76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300"/>
        </w:trPr>
        <w:tc>
          <w:tcPr>
            <w:tcW w:w="40" w:type="dxa"/>
            <w:shd w:val="clear" w:color="auto" w:fill="auto"/>
          </w:tcPr>
          <w:p w:rsidR="00F2384E" w:rsidRPr="00330EB0" w:rsidRDefault="00F2384E">
            <w:pPr>
              <w:pStyle w:val="EMPTYCELLSTYLE"/>
              <w:widowControl w:val="0"/>
              <w:rPr>
                <w:rFonts w:ascii="Arial" w:hAnsi="Arial" w:cs="Arial"/>
                <w:sz w:val="20"/>
              </w:rPr>
            </w:pPr>
          </w:p>
        </w:tc>
        <w:tc>
          <w:tcPr>
            <w:tcW w:w="1079" w:type="dxa"/>
            <w:gridSpan w:val="2"/>
            <w:vMerge w:val="restart"/>
            <w:shd w:val="clear" w:color="auto" w:fill="auto"/>
            <w:tcMar>
              <w:left w:w="0" w:type="dxa"/>
              <w:right w:w="0" w:type="dxa"/>
            </w:tcMar>
          </w:tcPr>
          <w:p w:rsidR="00F2384E" w:rsidRPr="00330EB0" w:rsidRDefault="00330EB0">
            <w:pPr>
              <w:rPr>
                <w:rFonts w:ascii="Arial" w:hAnsi="Arial" w:cs="Arial"/>
                <w:sz w:val="20"/>
                <w:szCs w:val="20"/>
              </w:rPr>
            </w:pPr>
            <w:r w:rsidRPr="00330EB0">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pt;width:52.95pt;height:52.55pt;z-index:251659264;mso-wrap-distance-left:0;mso-wrap-distance-right:0;mso-position-horizontal-relative:text;mso-position-vertical-relative:text" filled="t">
                  <v:fill opacity="0" color2="black"/>
                  <v:imagedata r:id="rId6" o:title=""/>
                </v:shape>
              </w:pict>
            </w:r>
          </w:p>
        </w:tc>
        <w:tc>
          <w:tcPr>
            <w:tcW w:w="8001" w:type="dxa"/>
            <w:gridSpan w:val="6"/>
            <w:shd w:val="clear" w:color="auto" w:fill="auto"/>
            <w:tcMar>
              <w:left w:w="200" w:type="dxa"/>
              <w:right w:w="0" w:type="dxa"/>
            </w:tcMar>
            <w:vAlign w:val="center"/>
          </w:tcPr>
          <w:p w:rsidR="00F2384E" w:rsidRPr="00330EB0" w:rsidRDefault="00F2384E">
            <w:pPr>
              <w:rPr>
                <w:rFonts w:ascii="Arial" w:hAnsi="Arial" w:cs="Arial"/>
                <w:sz w:val="20"/>
                <w:szCs w:val="20"/>
              </w:rPr>
            </w:pPr>
            <w:r w:rsidRPr="00330EB0">
              <w:rPr>
                <w:rFonts w:ascii="Arial" w:eastAsia="Arial" w:hAnsi="Arial" w:cs="Arial"/>
                <w:b/>
                <w:color w:val="000000"/>
                <w:sz w:val="20"/>
                <w:szCs w:val="20"/>
              </w:rPr>
              <w:t>Ministério do Planejamento e Orçamento</w:t>
            </w: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779" w:type="dxa"/>
            <w:shd w:val="clear" w:color="auto" w:fill="auto"/>
          </w:tcPr>
          <w:p w:rsidR="00F2384E" w:rsidRPr="00330EB0" w:rsidRDefault="00F2384E">
            <w:pPr>
              <w:pStyle w:val="EMPTYCELLSTYLE"/>
              <w:widowControl w:val="0"/>
              <w:rPr>
                <w:rFonts w:ascii="Arial" w:hAnsi="Arial" w:cs="Arial"/>
                <w:sz w:val="20"/>
              </w:rPr>
            </w:pP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1120" w:type="dxa"/>
            <w:shd w:val="clear" w:color="auto" w:fill="auto"/>
          </w:tcPr>
          <w:p w:rsidR="00F2384E" w:rsidRPr="00330EB0" w:rsidRDefault="00F2384E">
            <w:pPr>
              <w:pStyle w:val="EMPTYCELLSTYLE"/>
              <w:widowControl w:val="0"/>
              <w:rPr>
                <w:rFonts w:ascii="Arial" w:hAnsi="Arial" w:cs="Arial"/>
                <w:sz w:val="20"/>
              </w:rPr>
            </w:pPr>
          </w:p>
        </w:tc>
        <w:tc>
          <w:tcPr>
            <w:tcW w:w="919" w:type="dxa"/>
            <w:shd w:val="clear" w:color="auto" w:fill="auto"/>
          </w:tcPr>
          <w:p w:rsidR="00F2384E" w:rsidRPr="00330EB0" w:rsidRDefault="00F2384E">
            <w:pPr>
              <w:pStyle w:val="EMPTYCELLSTYLE"/>
              <w:widowControl w:val="0"/>
              <w:rPr>
                <w:rFonts w:ascii="Arial" w:hAnsi="Arial" w:cs="Arial"/>
                <w:sz w:val="20"/>
              </w:rPr>
            </w:pPr>
          </w:p>
        </w:tc>
        <w:tc>
          <w:tcPr>
            <w:tcW w:w="76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360"/>
        </w:trPr>
        <w:tc>
          <w:tcPr>
            <w:tcW w:w="40" w:type="dxa"/>
            <w:shd w:val="clear" w:color="auto" w:fill="auto"/>
          </w:tcPr>
          <w:p w:rsidR="00F2384E" w:rsidRPr="00330EB0" w:rsidRDefault="00F2384E">
            <w:pPr>
              <w:pStyle w:val="EMPTYCELLSTYLE"/>
              <w:widowControl w:val="0"/>
              <w:rPr>
                <w:rFonts w:ascii="Arial" w:hAnsi="Arial" w:cs="Arial"/>
                <w:sz w:val="20"/>
              </w:rPr>
            </w:pPr>
          </w:p>
        </w:tc>
        <w:tc>
          <w:tcPr>
            <w:tcW w:w="1079" w:type="dxa"/>
            <w:gridSpan w:val="2"/>
            <w:vMerge/>
            <w:shd w:val="clear" w:color="auto" w:fill="auto"/>
            <w:tcMar>
              <w:left w:w="0" w:type="dxa"/>
              <w:right w:w="0" w:type="dxa"/>
            </w:tcMar>
          </w:tcPr>
          <w:p w:rsidR="00F2384E" w:rsidRPr="00330EB0" w:rsidRDefault="00F2384E">
            <w:pPr>
              <w:pStyle w:val="EMPTYCELLSTYLE"/>
              <w:widowControl w:val="0"/>
              <w:rPr>
                <w:rFonts w:ascii="Arial" w:hAnsi="Arial" w:cs="Arial"/>
                <w:sz w:val="20"/>
              </w:rPr>
            </w:pPr>
          </w:p>
        </w:tc>
        <w:tc>
          <w:tcPr>
            <w:tcW w:w="8001" w:type="dxa"/>
            <w:gridSpan w:val="6"/>
            <w:shd w:val="clear" w:color="auto" w:fill="auto"/>
            <w:tcMar>
              <w:left w:w="200" w:type="dxa"/>
              <w:right w:w="0" w:type="dxa"/>
            </w:tcMar>
            <w:vAlign w:val="center"/>
          </w:tcPr>
          <w:p w:rsidR="00F2384E" w:rsidRPr="00330EB0" w:rsidRDefault="00F2384E">
            <w:pPr>
              <w:rPr>
                <w:rFonts w:ascii="Arial" w:hAnsi="Arial" w:cs="Arial"/>
                <w:sz w:val="20"/>
                <w:szCs w:val="20"/>
              </w:rPr>
            </w:pPr>
            <w:r w:rsidRPr="00330EB0">
              <w:rPr>
                <w:rFonts w:ascii="Arial" w:eastAsia="Arial" w:hAnsi="Arial" w:cs="Arial"/>
                <w:color w:val="000000"/>
                <w:sz w:val="20"/>
                <w:szCs w:val="20"/>
              </w:rPr>
              <w:t>SIOP - Alterações Orçamentárias</w:t>
            </w:r>
          </w:p>
        </w:tc>
        <w:tc>
          <w:tcPr>
            <w:tcW w:w="6999" w:type="dxa"/>
            <w:gridSpan w:val="9"/>
            <w:shd w:val="clear" w:color="auto" w:fill="auto"/>
            <w:tcMar>
              <w:left w:w="0" w:type="dxa"/>
              <w:right w:w="0" w:type="dxa"/>
            </w:tcMar>
            <w:vAlign w:val="center"/>
          </w:tcPr>
          <w:p w:rsidR="00F2384E" w:rsidRPr="00330EB0" w:rsidRDefault="00F2384E">
            <w:pPr>
              <w:jc w:val="right"/>
              <w:rPr>
                <w:rFonts w:ascii="Arial" w:hAnsi="Arial" w:cs="Arial"/>
                <w:sz w:val="20"/>
                <w:szCs w:val="20"/>
              </w:rPr>
            </w:pPr>
            <w:r w:rsidRPr="00330EB0">
              <w:rPr>
                <w:rFonts w:ascii="Arial" w:eastAsia="Arial" w:hAnsi="Arial" w:cs="Arial"/>
                <w:b/>
                <w:color w:val="000000"/>
                <w:sz w:val="20"/>
                <w:szCs w:val="20"/>
              </w:rPr>
              <w:t>Exercício: 2024</w:t>
            </w: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400"/>
        </w:trPr>
        <w:tc>
          <w:tcPr>
            <w:tcW w:w="40" w:type="dxa"/>
            <w:shd w:val="clear" w:color="auto" w:fill="auto"/>
          </w:tcPr>
          <w:p w:rsidR="00F2384E" w:rsidRPr="00330EB0" w:rsidRDefault="00F2384E">
            <w:pPr>
              <w:pStyle w:val="EMPTYCELLSTYLE"/>
              <w:widowControl w:val="0"/>
              <w:rPr>
                <w:rFonts w:ascii="Arial" w:hAnsi="Arial" w:cs="Arial"/>
                <w:sz w:val="20"/>
              </w:rPr>
            </w:pPr>
          </w:p>
        </w:tc>
        <w:tc>
          <w:tcPr>
            <w:tcW w:w="1079" w:type="dxa"/>
            <w:gridSpan w:val="2"/>
            <w:vMerge/>
            <w:shd w:val="clear" w:color="auto" w:fill="auto"/>
            <w:tcMar>
              <w:left w:w="0" w:type="dxa"/>
              <w:right w:w="0" w:type="dxa"/>
            </w:tcMar>
          </w:tcPr>
          <w:p w:rsidR="00F2384E" w:rsidRPr="00330EB0" w:rsidRDefault="00F2384E">
            <w:pPr>
              <w:pStyle w:val="EMPTYCELLSTYLE"/>
              <w:widowControl w:val="0"/>
              <w:rPr>
                <w:rFonts w:ascii="Arial" w:hAnsi="Arial" w:cs="Arial"/>
                <w:sz w:val="20"/>
              </w:rPr>
            </w:pPr>
          </w:p>
        </w:tc>
        <w:tc>
          <w:tcPr>
            <w:tcW w:w="8001" w:type="dxa"/>
            <w:gridSpan w:val="6"/>
            <w:shd w:val="clear" w:color="auto" w:fill="auto"/>
            <w:tcMar>
              <w:left w:w="200" w:type="dxa"/>
              <w:right w:w="0" w:type="dxa"/>
            </w:tcMar>
            <w:vAlign w:val="center"/>
          </w:tcPr>
          <w:p w:rsidR="00F2384E" w:rsidRPr="00330EB0" w:rsidRDefault="00F2384E">
            <w:pPr>
              <w:rPr>
                <w:rFonts w:ascii="Arial" w:hAnsi="Arial" w:cs="Arial"/>
                <w:sz w:val="20"/>
                <w:szCs w:val="20"/>
              </w:rPr>
            </w:pPr>
            <w:r w:rsidRPr="00330EB0">
              <w:rPr>
                <w:rFonts w:ascii="Arial" w:eastAsia="Arial" w:hAnsi="Arial" w:cs="Arial"/>
                <w:b/>
                <w:color w:val="000000"/>
                <w:sz w:val="20"/>
                <w:szCs w:val="20"/>
              </w:rPr>
              <w:t>RELATÓRIO DEMONSTRATIVO DOS DESVIOS</w:t>
            </w: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779" w:type="dxa"/>
            <w:shd w:val="clear" w:color="auto" w:fill="auto"/>
          </w:tcPr>
          <w:p w:rsidR="00F2384E" w:rsidRPr="00330EB0" w:rsidRDefault="00F2384E">
            <w:pPr>
              <w:pStyle w:val="EMPTYCELLSTYLE"/>
              <w:widowControl w:val="0"/>
              <w:rPr>
                <w:rFonts w:ascii="Arial" w:hAnsi="Arial" w:cs="Arial"/>
                <w:sz w:val="20"/>
              </w:rPr>
            </w:pP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1120" w:type="dxa"/>
            <w:shd w:val="clear" w:color="auto" w:fill="auto"/>
          </w:tcPr>
          <w:p w:rsidR="00F2384E" w:rsidRPr="00330EB0" w:rsidRDefault="00F2384E">
            <w:pPr>
              <w:pStyle w:val="EMPTYCELLSTYLE"/>
              <w:widowControl w:val="0"/>
              <w:rPr>
                <w:rFonts w:ascii="Arial" w:hAnsi="Arial" w:cs="Arial"/>
                <w:sz w:val="20"/>
              </w:rPr>
            </w:pPr>
          </w:p>
        </w:tc>
        <w:tc>
          <w:tcPr>
            <w:tcW w:w="919" w:type="dxa"/>
            <w:shd w:val="clear" w:color="auto" w:fill="auto"/>
          </w:tcPr>
          <w:p w:rsidR="00F2384E" w:rsidRPr="00330EB0" w:rsidRDefault="00F2384E">
            <w:pPr>
              <w:pStyle w:val="EMPTYCELLSTYLE"/>
              <w:widowControl w:val="0"/>
              <w:rPr>
                <w:rFonts w:ascii="Arial" w:hAnsi="Arial" w:cs="Arial"/>
                <w:sz w:val="20"/>
              </w:rPr>
            </w:pPr>
          </w:p>
        </w:tc>
        <w:tc>
          <w:tcPr>
            <w:tcW w:w="76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300"/>
        </w:trPr>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1039" w:type="dxa"/>
            <w:shd w:val="clear" w:color="auto" w:fill="auto"/>
          </w:tcPr>
          <w:p w:rsidR="00F2384E" w:rsidRPr="00330EB0" w:rsidRDefault="00F2384E">
            <w:pPr>
              <w:pStyle w:val="EMPTYCELLSTYLE"/>
              <w:widowControl w:val="0"/>
              <w:rPr>
                <w:rFonts w:ascii="Arial" w:hAnsi="Arial" w:cs="Arial"/>
                <w:sz w:val="20"/>
              </w:rPr>
            </w:pPr>
          </w:p>
        </w:tc>
        <w:tc>
          <w:tcPr>
            <w:tcW w:w="15000" w:type="dxa"/>
            <w:gridSpan w:val="15"/>
            <w:shd w:val="clear" w:color="auto" w:fill="auto"/>
            <w:tcMar>
              <w:left w:w="200" w:type="dxa"/>
              <w:right w:w="0" w:type="dxa"/>
            </w:tcMar>
            <w:vAlign w:val="center"/>
          </w:tcPr>
          <w:p w:rsidR="00F2384E" w:rsidRPr="00330EB0" w:rsidRDefault="00F2384E">
            <w:pPr>
              <w:rPr>
                <w:rFonts w:ascii="Arial" w:hAnsi="Arial" w:cs="Arial"/>
                <w:sz w:val="20"/>
                <w:szCs w:val="20"/>
              </w:rPr>
            </w:pPr>
            <w:r w:rsidRPr="00330EB0">
              <w:rPr>
                <w:rFonts w:ascii="Arial" w:eastAsia="Arial" w:hAnsi="Arial" w:cs="Arial"/>
                <w:color w:val="000000"/>
                <w:sz w:val="20"/>
                <w:szCs w:val="20"/>
              </w:rPr>
              <w:t>(Art.54, §18, da Lei nº 14.791, de 29 de dezembro de 2023)</w:t>
            </w: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100"/>
        </w:trPr>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1039" w:type="dxa"/>
            <w:shd w:val="clear" w:color="auto" w:fill="auto"/>
          </w:tcPr>
          <w:p w:rsidR="00F2384E" w:rsidRPr="00330EB0" w:rsidRDefault="00F2384E">
            <w:pPr>
              <w:pStyle w:val="EMPTYCELLSTYLE"/>
              <w:widowControl w:val="0"/>
              <w:rPr>
                <w:rFonts w:ascii="Arial" w:hAnsi="Arial" w:cs="Arial"/>
                <w:sz w:val="20"/>
              </w:rPr>
            </w:pPr>
          </w:p>
        </w:tc>
        <w:tc>
          <w:tcPr>
            <w:tcW w:w="561" w:type="dxa"/>
            <w:shd w:val="clear" w:color="auto" w:fill="auto"/>
          </w:tcPr>
          <w:p w:rsidR="00F2384E" w:rsidRPr="00330EB0" w:rsidRDefault="00F2384E">
            <w:pPr>
              <w:pStyle w:val="EMPTYCELLSTYLE"/>
              <w:widowControl w:val="0"/>
              <w:rPr>
                <w:rFonts w:ascii="Arial" w:hAnsi="Arial" w:cs="Arial"/>
                <w:sz w:val="20"/>
              </w:rPr>
            </w:pPr>
          </w:p>
        </w:tc>
        <w:tc>
          <w:tcPr>
            <w:tcW w:w="800" w:type="dxa"/>
            <w:shd w:val="clear" w:color="auto" w:fill="auto"/>
          </w:tcPr>
          <w:p w:rsidR="00F2384E" w:rsidRPr="00330EB0" w:rsidRDefault="00F2384E">
            <w:pPr>
              <w:pStyle w:val="EMPTYCELLSTYLE"/>
              <w:widowControl w:val="0"/>
              <w:rPr>
                <w:rFonts w:ascii="Arial" w:hAnsi="Arial" w:cs="Arial"/>
                <w:sz w:val="20"/>
              </w:rPr>
            </w:pPr>
          </w:p>
        </w:tc>
        <w:tc>
          <w:tcPr>
            <w:tcW w:w="3479" w:type="dxa"/>
            <w:shd w:val="clear" w:color="auto" w:fill="auto"/>
          </w:tcPr>
          <w:p w:rsidR="00F2384E" w:rsidRPr="00330EB0" w:rsidRDefault="00F2384E">
            <w:pPr>
              <w:pStyle w:val="EMPTYCELLSTYLE"/>
              <w:widowControl w:val="0"/>
              <w:rPr>
                <w:rFonts w:ascii="Arial" w:hAnsi="Arial" w:cs="Arial"/>
                <w:sz w:val="20"/>
              </w:rPr>
            </w:pPr>
          </w:p>
        </w:tc>
        <w:tc>
          <w:tcPr>
            <w:tcW w:w="440"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1121"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779" w:type="dxa"/>
            <w:shd w:val="clear" w:color="auto" w:fill="auto"/>
          </w:tcPr>
          <w:p w:rsidR="00F2384E" w:rsidRPr="00330EB0" w:rsidRDefault="00F2384E">
            <w:pPr>
              <w:pStyle w:val="EMPTYCELLSTYLE"/>
              <w:widowControl w:val="0"/>
              <w:rPr>
                <w:rFonts w:ascii="Arial" w:hAnsi="Arial" w:cs="Arial"/>
                <w:sz w:val="20"/>
              </w:rPr>
            </w:pP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1120" w:type="dxa"/>
            <w:shd w:val="clear" w:color="auto" w:fill="auto"/>
          </w:tcPr>
          <w:p w:rsidR="00F2384E" w:rsidRPr="00330EB0" w:rsidRDefault="00F2384E">
            <w:pPr>
              <w:pStyle w:val="EMPTYCELLSTYLE"/>
              <w:widowControl w:val="0"/>
              <w:rPr>
                <w:rFonts w:ascii="Arial" w:hAnsi="Arial" w:cs="Arial"/>
                <w:sz w:val="20"/>
              </w:rPr>
            </w:pPr>
          </w:p>
        </w:tc>
        <w:tc>
          <w:tcPr>
            <w:tcW w:w="919" w:type="dxa"/>
            <w:shd w:val="clear" w:color="auto" w:fill="auto"/>
          </w:tcPr>
          <w:p w:rsidR="00F2384E" w:rsidRPr="00330EB0" w:rsidRDefault="00F2384E">
            <w:pPr>
              <w:pStyle w:val="EMPTYCELLSTYLE"/>
              <w:widowControl w:val="0"/>
              <w:rPr>
                <w:rFonts w:ascii="Arial" w:hAnsi="Arial" w:cs="Arial"/>
                <w:sz w:val="20"/>
              </w:rPr>
            </w:pPr>
          </w:p>
        </w:tc>
        <w:tc>
          <w:tcPr>
            <w:tcW w:w="76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300"/>
        </w:trPr>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1039" w:type="dxa"/>
            <w:shd w:val="clear" w:color="auto" w:fill="auto"/>
          </w:tcPr>
          <w:p w:rsidR="00F2384E" w:rsidRPr="00330EB0" w:rsidRDefault="00F2384E">
            <w:pPr>
              <w:pStyle w:val="EMPTYCELLSTYLE"/>
              <w:widowControl w:val="0"/>
              <w:rPr>
                <w:rFonts w:ascii="Arial" w:hAnsi="Arial" w:cs="Arial"/>
                <w:sz w:val="20"/>
              </w:rPr>
            </w:pPr>
          </w:p>
        </w:tc>
        <w:tc>
          <w:tcPr>
            <w:tcW w:w="561" w:type="dxa"/>
            <w:shd w:val="clear" w:color="auto" w:fill="auto"/>
          </w:tcPr>
          <w:p w:rsidR="00F2384E" w:rsidRPr="00330EB0" w:rsidRDefault="00F2384E">
            <w:pPr>
              <w:pStyle w:val="EMPTYCELLSTYLE"/>
              <w:widowControl w:val="0"/>
              <w:rPr>
                <w:rFonts w:ascii="Arial" w:hAnsi="Arial" w:cs="Arial"/>
                <w:sz w:val="20"/>
              </w:rPr>
            </w:pPr>
          </w:p>
        </w:tc>
        <w:tc>
          <w:tcPr>
            <w:tcW w:w="800" w:type="dxa"/>
            <w:shd w:val="clear" w:color="auto" w:fill="auto"/>
          </w:tcPr>
          <w:p w:rsidR="00F2384E" w:rsidRPr="00330EB0" w:rsidRDefault="00F2384E">
            <w:pPr>
              <w:pStyle w:val="EMPTYCELLSTYLE"/>
              <w:widowControl w:val="0"/>
              <w:rPr>
                <w:rFonts w:ascii="Arial" w:hAnsi="Arial" w:cs="Arial"/>
                <w:sz w:val="20"/>
              </w:rPr>
            </w:pPr>
          </w:p>
        </w:tc>
        <w:tc>
          <w:tcPr>
            <w:tcW w:w="3479" w:type="dxa"/>
            <w:shd w:val="clear" w:color="auto" w:fill="auto"/>
          </w:tcPr>
          <w:p w:rsidR="00F2384E" w:rsidRPr="00330EB0" w:rsidRDefault="00F2384E">
            <w:pPr>
              <w:pStyle w:val="EMPTYCELLSTYLE"/>
              <w:widowControl w:val="0"/>
              <w:rPr>
                <w:rFonts w:ascii="Arial" w:hAnsi="Arial" w:cs="Arial"/>
                <w:sz w:val="20"/>
              </w:rPr>
            </w:pPr>
          </w:p>
        </w:tc>
        <w:tc>
          <w:tcPr>
            <w:tcW w:w="440"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1121"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779" w:type="dxa"/>
            <w:shd w:val="clear" w:color="auto" w:fill="auto"/>
          </w:tcPr>
          <w:p w:rsidR="00F2384E" w:rsidRPr="00330EB0" w:rsidRDefault="00F2384E">
            <w:pPr>
              <w:pStyle w:val="EMPTYCELLSTYLE"/>
              <w:widowControl w:val="0"/>
              <w:rPr>
                <w:rFonts w:ascii="Arial" w:hAnsi="Arial" w:cs="Arial"/>
                <w:sz w:val="20"/>
              </w:rPr>
            </w:pP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1120" w:type="dxa"/>
            <w:shd w:val="clear" w:color="auto" w:fill="auto"/>
          </w:tcPr>
          <w:p w:rsidR="00F2384E" w:rsidRPr="00330EB0" w:rsidRDefault="00F2384E">
            <w:pPr>
              <w:pStyle w:val="EMPTYCELLSTYLE"/>
              <w:widowControl w:val="0"/>
              <w:rPr>
                <w:rFonts w:ascii="Arial" w:hAnsi="Arial" w:cs="Arial"/>
                <w:sz w:val="20"/>
              </w:rPr>
            </w:pPr>
          </w:p>
        </w:tc>
        <w:tc>
          <w:tcPr>
            <w:tcW w:w="919" w:type="dxa"/>
            <w:shd w:val="clear" w:color="auto" w:fill="auto"/>
          </w:tcPr>
          <w:p w:rsidR="00F2384E" w:rsidRPr="00330EB0" w:rsidRDefault="00F2384E">
            <w:pPr>
              <w:pStyle w:val="EMPTYCELLSTYLE"/>
              <w:widowControl w:val="0"/>
              <w:rPr>
                <w:rFonts w:ascii="Arial" w:hAnsi="Arial" w:cs="Arial"/>
                <w:sz w:val="20"/>
              </w:rPr>
            </w:pPr>
          </w:p>
        </w:tc>
        <w:tc>
          <w:tcPr>
            <w:tcW w:w="800"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w:hAnsi="Arial" w:cs="Arial"/>
                <w:b/>
                <w:color w:val="000000"/>
                <w:sz w:val="20"/>
                <w:szCs w:val="20"/>
              </w:rPr>
              <w:t>R$ 1,00</w:t>
            </w: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40"/>
        </w:trPr>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1039" w:type="dxa"/>
            <w:shd w:val="clear" w:color="auto" w:fill="auto"/>
          </w:tcPr>
          <w:p w:rsidR="00F2384E" w:rsidRPr="00330EB0" w:rsidRDefault="00F2384E">
            <w:pPr>
              <w:pStyle w:val="EMPTYCELLSTYLE"/>
              <w:widowControl w:val="0"/>
              <w:rPr>
                <w:rFonts w:ascii="Arial" w:hAnsi="Arial" w:cs="Arial"/>
                <w:sz w:val="20"/>
              </w:rPr>
            </w:pPr>
          </w:p>
        </w:tc>
        <w:tc>
          <w:tcPr>
            <w:tcW w:w="561" w:type="dxa"/>
            <w:shd w:val="clear" w:color="auto" w:fill="auto"/>
          </w:tcPr>
          <w:p w:rsidR="00F2384E" w:rsidRPr="00330EB0" w:rsidRDefault="00F2384E">
            <w:pPr>
              <w:pStyle w:val="EMPTYCELLSTYLE"/>
              <w:widowControl w:val="0"/>
              <w:rPr>
                <w:rFonts w:ascii="Arial" w:hAnsi="Arial" w:cs="Arial"/>
                <w:sz w:val="20"/>
              </w:rPr>
            </w:pPr>
          </w:p>
        </w:tc>
        <w:tc>
          <w:tcPr>
            <w:tcW w:w="800" w:type="dxa"/>
            <w:shd w:val="clear" w:color="auto" w:fill="auto"/>
          </w:tcPr>
          <w:p w:rsidR="00F2384E" w:rsidRPr="00330EB0" w:rsidRDefault="00F2384E">
            <w:pPr>
              <w:pStyle w:val="EMPTYCELLSTYLE"/>
              <w:widowControl w:val="0"/>
              <w:rPr>
                <w:rFonts w:ascii="Arial" w:hAnsi="Arial" w:cs="Arial"/>
                <w:sz w:val="20"/>
              </w:rPr>
            </w:pPr>
          </w:p>
        </w:tc>
        <w:tc>
          <w:tcPr>
            <w:tcW w:w="3479" w:type="dxa"/>
            <w:shd w:val="clear" w:color="auto" w:fill="auto"/>
          </w:tcPr>
          <w:p w:rsidR="00F2384E" w:rsidRPr="00330EB0" w:rsidRDefault="00F2384E">
            <w:pPr>
              <w:pStyle w:val="EMPTYCELLSTYLE"/>
              <w:widowControl w:val="0"/>
              <w:rPr>
                <w:rFonts w:ascii="Arial" w:hAnsi="Arial" w:cs="Arial"/>
                <w:sz w:val="20"/>
              </w:rPr>
            </w:pPr>
          </w:p>
        </w:tc>
        <w:tc>
          <w:tcPr>
            <w:tcW w:w="440"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1121"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779" w:type="dxa"/>
            <w:shd w:val="clear" w:color="auto" w:fill="auto"/>
          </w:tcPr>
          <w:p w:rsidR="00F2384E" w:rsidRPr="00330EB0" w:rsidRDefault="00F2384E">
            <w:pPr>
              <w:pStyle w:val="EMPTYCELLSTYLE"/>
              <w:widowControl w:val="0"/>
              <w:rPr>
                <w:rFonts w:ascii="Arial" w:hAnsi="Arial" w:cs="Arial"/>
                <w:sz w:val="20"/>
              </w:rPr>
            </w:pP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1120" w:type="dxa"/>
            <w:shd w:val="clear" w:color="auto" w:fill="auto"/>
          </w:tcPr>
          <w:p w:rsidR="00F2384E" w:rsidRPr="00330EB0" w:rsidRDefault="00F2384E">
            <w:pPr>
              <w:pStyle w:val="EMPTYCELLSTYLE"/>
              <w:widowControl w:val="0"/>
              <w:rPr>
                <w:rFonts w:ascii="Arial" w:hAnsi="Arial" w:cs="Arial"/>
                <w:sz w:val="20"/>
              </w:rPr>
            </w:pPr>
          </w:p>
        </w:tc>
        <w:tc>
          <w:tcPr>
            <w:tcW w:w="919" w:type="dxa"/>
            <w:shd w:val="clear" w:color="auto" w:fill="auto"/>
          </w:tcPr>
          <w:p w:rsidR="00F2384E" w:rsidRPr="00330EB0" w:rsidRDefault="00F2384E">
            <w:pPr>
              <w:pStyle w:val="EMPTYCELLSTYLE"/>
              <w:widowControl w:val="0"/>
              <w:rPr>
                <w:rFonts w:ascii="Arial" w:hAnsi="Arial" w:cs="Arial"/>
                <w:sz w:val="20"/>
              </w:rPr>
            </w:pPr>
          </w:p>
        </w:tc>
        <w:tc>
          <w:tcPr>
            <w:tcW w:w="76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20"/>
        </w:trPr>
        <w:tc>
          <w:tcPr>
            <w:tcW w:w="40" w:type="dxa"/>
            <w:shd w:val="clear" w:color="auto" w:fill="auto"/>
          </w:tcPr>
          <w:p w:rsidR="00F2384E" w:rsidRPr="00330EB0" w:rsidRDefault="00F2384E">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20"/>
        </w:trPr>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1039" w:type="dxa"/>
            <w:shd w:val="clear" w:color="auto" w:fill="auto"/>
          </w:tcPr>
          <w:p w:rsidR="00F2384E" w:rsidRPr="00330EB0" w:rsidRDefault="00F2384E">
            <w:pPr>
              <w:pStyle w:val="EMPTYCELLSTYLE"/>
              <w:widowControl w:val="0"/>
              <w:rPr>
                <w:rFonts w:ascii="Arial" w:hAnsi="Arial" w:cs="Arial"/>
                <w:sz w:val="20"/>
              </w:rPr>
            </w:pPr>
          </w:p>
        </w:tc>
        <w:tc>
          <w:tcPr>
            <w:tcW w:w="561" w:type="dxa"/>
            <w:shd w:val="clear" w:color="auto" w:fill="auto"/>
          </w:tcPr>
          <w:p w:rsidR="00F2384E" w:rsidRPr="00330EB0" w:rsidRDefault="00F2384E">
            <w:pPr>
              <w:pStyle w:val="EMPTYCELLSTYLE"/>
              <w:widowControl w:val="0"/>
              <w:rPr>
                <w:rFonts w:ascii="Arial" w:hAnsi="Arial" w:cs="Arial"/>
                <w:sz w:val="20"/>
              </w:rPr>
            </w:pPr>
          </w:p>
        </w:tc>
        <w:tc>
          <w:tcPr>
            <w:tcW w:w="800" w:type="dxa"/>
            <w:shd w:val="clear" w:color="auto" w:fill="auto"/>
          </w:tcPr>
          <w:p w:rsidR="00F2384E" w:rsidRPr="00330EB0" w:rsidRDefault="00F2384E">
            <w:pPr>
              <w:pStyle w:val="EMPTYCELLSTYLE"/>
              <w:widowControl w:val="0"/>
              <w:rPr>
                <w:rFonts w:ascii="Arial" w:hAnsi="Arial" w:cs="Arial"/>
                <w:sz w:val="20"/>
              </w:rPr>
            </w:pPr>
          </w:p>
        </w:tc>
        <w:tc>
          <w:tcPr>
            <w:tcW w:w="3479" w:type="dxa"/>
            <w:shd w:val="clear" w:color="auto" w:fill="auto"/>
          </w:tcPr>
          <w:p w:rsidR="00F2384E" w:rsidRPr="00330EB0" w:rsidRDefault="00F2384E">
            <w:pPr>
              <w:pStyle w:val="EMPTYCELLSTYLE"/>
              <w:widowControl w:val="0"/>
              <w:rPr>
                <w:rFonts w:ascii="Arial" w:hAnsi="Arial" w:cs="Arial"/>
                <w:sz w:val="20"/>
              </w:rPr>
            </w:pPr>
          </w:p>
        </w:tc>
        <w:tc>
          <w:tcPr>
            <w:tcW w:w="440"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1121"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779" w:type="dxa"/>
            <w:shd w:val="clear" w:color="auto" w:fill="auto"/>
          </w:tcPr>
          <w:p w:rsidR="00F2384E" w:rsidRPr="00330EB0" w:rsidRDefault="00F2384E">
            <w:pPr>
              <w:pStyle w:val="EMPTYCELLSTYLE"/>
              <w:widowControl w:val="0"/>
              <w:rPr>
                <w:rFonts w:ascii="Arial" w:hAnsi="Arial" w:cs="Arial"/>
                <w:sz w:val="20"/>
              </w:rPr>
            </w:pP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1120" w:type="dxa"/>
            <w:shd w:val="clear" w:color="auto" w:fill="auto"/>
          </w:tcPr>
          <w:p w:rsidR="00F2384E" w:rsidRPr="00330EB0" w:rsidRDefault="00F2384E">
            <w:pPr>
              <w:pStyle w:val="EMPTYCELLSTYLE"/>
              <w:widowControl w:val="0"/>
              <w:rPr>
                <w:rFonts w:ascii="Arial" w:hAnsi="Arial" w:cs="Arial"/>
                <w:sz w:val="20"/>
              </w:rPr>
            </w:pPr>
          </w:p>
        </w:tc>
        <w:tc>
          <w:tcPr>
            <w:tcW w:w="919" w:type="dxa"/>
            <w:shd w:val="clear" w:color="auto" w:fill="auto"/>
          </w:tcPr>
          <w:p w:rsidR="00F2384E" w:rsidRPr="00330EB0" w:rsidRDefault="00F2384E">
            <w:pPr>
              <w:pStyle w:val="EMPTYCELLSTYLE"/>
              <w:widowControl w:val="0"/>
              <w:rPr>
                <w:rFonts w:ascii="Arial" w:hAnsi="Arial" w:cs="Arial"/>
                <w:sz w:val="20"/>
              </w:rPr>
            </w:pPr>
          </w:p>
        </w:tc>
        <w:tc>
          <w:tcPr>
            <w:tcW w:w="76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400"/>
        </w:trPr>
        <w:tc>
          <w:tcPr>
            <w:tcW w:w="40" w:type="dxa"/>
            <w:shd w:val="clear" w:color="auto" w:fill="auto"/>
          </w:tcPr>
          <w:p w:rsidR="00F2384E" w:rsidRPr="00330EB0" w:rsidRDefault="00F2384E">
            <w:pPr>
              <w:pStyle w:val="EMPTYCELLSTYLE"/>
              <w:widowControl w:val="0"/>
              <w:rPr>
                <w:rFonts w:ascii="Arial" w:hAnsi="Arial" w:cs="Arial"/>
                <w:sz w:val="20"/>
              </w:rPr>
            </w:pPr>
          </w:p>
        </w:tc>
        <w:tc>
          <w:tcPr>
            <w:tcW w:w="6359" w:type="dxa"/>
            <w:gridSpan w:val="6"/>
            <w:shd w:val="clear" w:color="auto" w:fill="auto"/>
            <w:tcMar>
              <w:left w:w="0" w:type="dxa"/>
              <w:right w:w="0" w:type="dxa"/>
            </w:tcMar>
            <w:vAlign w:val="bottom"/>
          </w:tcPr>
          <w:p w:rsidR="00F2384E" w:rsidRPr="00330EB0" w:rsidRDefault="00F2384E">
            <w:pPr>
              <w:rPr>
                <w:rFonts w:ascii="Arial" w:hAnsi="Arial" w:cs="Arial"/>
                <w:sz w:val="20"/>
                <w:szCs w:val="20"/>
              </w:rPr>
            </w:pPr>
            <w:r w:rsidRPr="00330EB0">
              <w:rPr>
                <w:rFonts w:ascii="Arial" w:eastAsia="Arial Narrow" w:hAnsi="Arial" w:cs="Arial"/>
                <w:b/>
                <w:color w:val="000000"/>
                <w:sz w:val="20"/>
                <w:szCs w:val="20"/>
              </w:rPr>
              <w:t>Programação</w:t>
            </w:r>
          </w:p>
        </w:tc>
        <w:tc>
          <w:tcPr>
            <w:tcW w:w="1600" w:type="dxa"/>
            <w:shd w:val="clear" w:color="auto" w:fill="auto"/>
            <w:tcMar>
              <w:left w:w="0" w:type="dxa"/>
              <w:right w:w="0" w:type="dxa"/>
            </w:tcMar>
            <w:vAlign w:val="bottom"/>
          </w:tcPr>
          <w:p w:rsidR="00F2384E" w:rsidRPr="00330EB0" w:rsidRDefault="00F2384E">
            <w:pPr>
              <w:jc w:val="right"/>
              <w:rPr>
                <w:rFonts w:ascii="Arial" w:hAnsi="Arial" w:cs="Arial"/>
                <w:sz w:val="20"/>
                <w:szCs w:val="20"/>
              </w:rPr>
            </w:pPr>
            <w:r w:rsidRPr="00330EB0">
              <w:rPr>
                <w:rFonts w:ascii="Arial" w:eastAsia="Arial Narrow" w:hAnsi="Arial" w:cs="Arial"/>
                <w:b/>
                <w:color w:val="000000"/>
                <w:sz w:val="20"/>
                <w:szCs w:val="20"/>
              </w:rPr>
              <w:t>LOA</w:t>
            </w:r>
            <w:r w:rsidRPr="00330EB0">
              <w:rPr>
                <w:rFonts w:ascii="Arial" w:eastAsia="Arial Narrow" w:hAnsi="Arial" w:cs="Arial"/>
                <w:b/>
                <w:color w:val="000000"/>
                <w:sz w:val="20"/>
                <w:szCs w:val="20"/>
              </w:rPr>
              <w:br/>
              <w:t>(A)</w:t>
            </w:r>
          </w:p>
        </w:tc>
        <w:tc>
          <w:tcPr>
            <w:tcW w:w="1601" w:type="dxa"/>
            <w:gridSpan w:val="2"/>
            <w:shd w:val="clear" w:color="auto" w:fill="auto"/>
            <w:tcMar>
              <w:left w:w="0" w:type="dxa"/>
              <w:right w:w="0" w:type="dxa"/>
            </w:tcMar>
            <w:vAlign w:val="bottom"/>
          </w:tcPr>
          <w:p w:rsidR="00F2384E" w:rsidRPr="00330EB0" w:rsidRDefault="00F2384E">
            <w:pPr>
              <w:jc w:val="right"/>
              <w:rPr>
                <w:rFonts w:ascii="Arial" w:hAnsi="Arial" w:cs="Arial"/>
                <w:sz w:val="20"/>
                <w:szCs w:val="20"/>
              </w:rPr>
            </w:pPr>
            <w:r w:rsidRPr="00330EB0">
              <w:rPr>
                <w:rFonts w:ascii="Arial" w:eastAsia="Arial Narrow" w:hAnsi="Arial" w:cs="Arial"/>
                <w:b/>
                <w:color w:val="000000"/>
                <w:sz w:val="20"/>
                <w:szCs w:val="20"/>
              </w:rPr>
              <w:t>Dotação</w:t>
            </w:r>
            <w:r w:rsidRPr="00330EB0">
              <w:rPr>
                <w:rFonts w:ascii="Arial" w:eastAsia="Arial Narrow" w:hAnsi="Arial" w:cs="Arial"/>
                <w:b/>
                <w:color w:val="000000"/>
                <w:sz w:val="20"/>
                <w:szCs w:val="20"/>
              </w:rPr>
              <w:br/>
              <w:t>Atual (B)</w:t>
            </w:r>
          </w:p>
        </w:tc>
        <w:tc>
          <w:tcPr>
            <w:tcW w:w="1600" w:type="dxa"/>
            <w:gridSpan w:val="2"/>
            <w:shd w:val="clear" w:color="auto" w:fill="auto"/>
            <w:tcMar>
              <w:left w:w="0" w:type="dxa"/>
              <w:right w:w="0" w:type="dxa"/>
            </w:tcMar>
            <w:vAlign w:val="bottom"/>
          </w:tcPr>
          <w:p w:rsidR="00F2384E" w:rsidRPr="00330EB0" w:rsidRDefault="00F2384E">
            <w:pPr>
              <w:jc w:val="right"/>
              <w:rPr>
                <w:rFonts w:ascii="Arial" w:hAnsi="Arial" w:cs="Arial"/>
                <w:sz w:val="20"/>
                <w:szCs w:val="20"/>
              </w:rPr>
            </w:pPr>
            <w:r w:rsidRPr="00330EB0">
              <w:rPr>
                <w:rFonts w:ascii="Arial" w:eastAsia="Arial Narrow" w:hAnsi="Arial" w:cs="Arial"/>
                <w:b/>
                <w:color w:val="000000"/>
                <w:sz w:val="20"/>
                <w:szCs w:val="20"/>
              </w:rPr>
              <w:t>Créditos em</w:t>
            </w:r>
            <w:r w:rsidRPr="00330EB0">
              <w:rPr>
                <w:rFonts w:ascii="Arial" w:eastAsia="Arial Narrow" w:hAnsi="Arial" w:cs="Arial"/>
                <w:b/>
                <w:color w:val="000000"/>
                <w:sz w:val="20"/>
                <w:szCs w:val="20"/>
              </w:rPr>
              <w:br/>
              <w:t>Tramitação (C)</w:t>
            </w:r>
          </w:p>
        </w:tc>
        <w:tc>
          <w:tcPr>
            <w:tcW w:w="1600" w:type="dxa"/>
            <w:shd w:val="clear" w:color="auto" w:fill="auto"/>
            <w:tcMar>
              <w:left w:w="0" w:type="dxa"/>
              <w:right w:w="0" w:type="dxa"/>
            </w:tcMar>
            <w:vAlign w:val="bottom"/>
          </w:tcPr>
          <w:p w:rsidR="00F2384E" w:rsidRPr="00330EB0" w:rsidRDefault="00F2384E">
            <w:pPr>
              <w:jc w:val="right"/>
              <w:rPr>
                <w:rFonts w:ascii="Arial" w:hAnsi="Arial" w:cs="Arial"/>
                <w:sz w:val="20"/>
                <w:szCs w:val="20"/>
              </w:rPr>
            </w:pPr>
            <w:r w:rsidRPr="00330EB0">
              <w:rPr>
                <w:rFonts w:ascii="Arial" w:eastAsia="Arial Narrow" w:hAnsi="Arial" w:cs="Arial"/>
                <w:b/>
                <w:color w:val="000000"/>
                <w:sz w:val="20"/>
                <w:szCs w:val="20"/>
              </w:rPr>
              <w:t>Valor deste</w:t>
            </w:r>
            <w:r w:rsidRPr="00330EB0">
              <w:rPr>
                <w:rFonts w:ascii="Arial" w:eastAsia="Arial Narrow" w:hAnsi="Arial" w:cs="Arial"/>
                <w:b/>
                <w:color w:val="000000"/>
                <w:sz w:val="20"/>
                <w:szCs w:val="20"/>
              </w:rPr>
              <w:br/>
              <w:t>Crédito (D)</w:t>
            </w:r>
          </w:p>
        </w:tc>
        <w:tc>
          <w:tcPr>
            <w:tcW w:w="1600" w:type="dxa"/>
            <w:gridSpan w:val="2"/>
            <w:shd w:val="clear" w:color="auto" w:fill="auto"/>
            <w:tcMar>
              <w:left w:w="0" w:type="dxa"/>
              <w:right w:w="0" w:type="dxa"/>
            </w:tcMar>
            <w:vAlign w:val="bottom"/>
          </w:tcPr>
          <w:p w:rsidR="00F2384E" w:rsidRPr="00330EB0" w:rsidRDefault="00F2384E">
            <w:pPr>
              <w:jc w:val="right"/>
              <w:rPr>
                <w:rFonts w:ascii="Arial" w:hAnsi="Arial" w:cs="Arial"/>
                <w:sz w:val="20"/>
                <w:szCs w:val="20"/>
              </w:rPr>
            </w:pPr>
            <w:r w:rsidRPr="00330EB0">
              <w:rPr>
                <w:rFonts w:ascii="Arial" w:eastAsia="Arial Narrow" w:hAnsi="Arial" w:cs="Arial"/>
                <w:b/>
                <w:color w:val="000000"/>
                <w:sz w:val="20"/>
                <w:szCs w:val="20"/>
              </w:rPr>
              <w:t>Dotação Resultante</w:t>
            </w:r>
            <w:r w:rsidRPr="00330EB0">
              <w:rPr>
                <w:rFonts w:ascii="Arial" w:eastAsia="Arial Narrow" w:hAnsi="Arial" w:cs="Arial"/>
                <w:b/>
                <w:color w:val="000000"/>
                <w:sz w:val="20"/>
                <w:szCs w:val="20"/>
              </w:rPr>
              <w:br/>
              <w:t>(E) = B + C + D</w:t>
            </w:r>
          </w:p>
        </w:tc>
        <w:tc>
          <w:tcPr>
            <w:tcW w:w="1719" w:type="dxa"/>
            <w:gridSpan w:val="3"/>
            <w:shd w:val="clear" w:color="auto" w:fill="auto"/>
            <w:tcMar>
              <w:left w:w="0" w:type="dxa"/>
              <w:right w:w="0" w:type="dxa"/>
            </w:tcMar>
            <w:vAlign w:val="bottom"/>
          </w:tcPr>
          <w:p w:rsidR="00F2384E" w:rsidRPr="00330EB0" w:rsidRDefault="00F2384E">
            <w:pPr>
              <w:jc w:val="right"/>
              <w:rPr>
                <w:rFonts w:ascii="Arial" w:hAnsi="Arial" w:cs="Arial"/>
                <w:sz w:val="20"/>
                <w:szCs w:val="20"/>
              </w:rPr>
            </w:pPr>
            <w:r w:rsidRPr="00330EB0">
              <w:rPr>
                <w:rFonts w:ascii="Arial" w:eastAsia="Arial Narrow" w:hAnsi="Arial" w:cs="Arial"/>
                <w:b/>
                <w:color w:val="000000"/>
                <w:sz w:val="20"/>
                <w:szCs w:val="20"/>
              </w:rPr>
              <w:t>Desvio em Relação à</w:t>
            </w:r>
            <w:r w:rsidRPr="00330EB0">
              <w:rPr>
                <w:rFonts w:ascii="Arial" w:eastAsia="Arial Narrow" w:hAnsi="Arial" w:cs="Arial"/>
                <w:b/>
                <w:color w:val="000000"/>
                <w:sz w:val="20"/>
                <w:szCs w:val="20"/>
              </w:rPr>
              <w:br/>
              <w:t>LOA (F) = (E - A) / A</w:t>
            </w: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20"/>
        </w:trPr>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1039" w:type="dxa"/>
            <w:shd w:val="clear" w:color="auto" w:fill="auto"/>
          </w:tcPr>
          <w:p w:rsidR="00F2384E" w:rsidRPr="00330EB0" w:rsidRDefault="00F2384E">
            <w:pPr>
              <w:pStyle w:val="EMPTYCELLSTYLE"/>
              <w:widowControl w:val="0"/>
              <w:rPr>
                <w:rFonts w:ascii="Arial" w:hAnsi="Arial" w:cs="Arial"/>
                <w:sz w:val="20"/>
              </w:rPr>
            </w:pPr>
          </w:p>
        </w:tc>
        <w:tc>
          <w:tcPr>
            <w:tcW w:w="561" w:type="dxa"/>
            <w:shd w:val="clear" w:color="auto" w:fill="auto"/>
          </w:tcPr>
          <w:p w:rsidR="00F2384E" w:rsidRPr="00330EB0" w:rsidRDefault="00F2384E">
            <w:pPr>
              <w:pStyle w:val="EMPTYCELLSTYLE"/>
              <w:widowControl w:val="0"/>
              <w:rPr>
                <w:rFonts w:ascii="Arial" w:hAnsi="Arial" w:cs="Arial"/>
                <w:sz w:val="20"/>
              </w:rPr>
            </w:pPr>
          </w:p>
        </w:tc>
        <w:tc>
          <w:tcPr>
            <w:tcW w:w="800" w:type="dxa"/>
            <w:shd w:val="clear" w:color="auto" w:fill="auto"/>
          </w:tcPr>
          <w:p w:rsidR="00F2384E" w:rsidRPr="00330EB0" w:rsidRDefault="00F2384E">
            <w:pPr>
              <w:pStyle w:val="EMPTYCELLSTYLE"/>
              <w:widowControl w:val="0"/>
              <w:rPr>
                <w:rFonts w:ascii="Arial" w:hAnsi="Arial" w:cs="Arial"/>
                <w:sz w:val="20"/>
              </w:rPr>
            </w:pPr>
          </w:p>
        </w:tc>
        <w:tc>
          <w:tcPr>
            <w:tcW w:w="3479" w:type="dxa"/>
            <w:shd w:val="clear" w:color="auto" w:fill="auto"/>
          </w:tcPr>
          <w:p w:rsidR="00F2384E" w:rsidRPr="00330EB0" w:rsidRDefault="00F2384E">
            <w:pPr>
              <w:pStyle w:val="EMPTYCELLSTYLE"/>
              <w:widowControl w:val="0"/>
              <w:rPr>
                <w:rFonts w:ascii="Arial" w:hAnsi="Arial" w:cs="Arial"/>
                <w:sz w:val="20"/>
              </w:rPr>
            </w:pPr>
          </w:p>
        </w:tc>
        <w:tc>
          <w:tcPr>
            <w:tcW w:w="440"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1121"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779" w:type="dxa"/>
            <w:shd w:val="clear" w:color="auto" w:fill="auto"/>
          </w:tcPr>
          <w:p w:rsidR="00F2384E" w:rsidRPr="00330EB0" w:rsidRDefault="00F2384E">
            <w:pPr>
              <w:pStyle w:val="EMPTYCELLSTYLE"/>
              <w:widowControl w:val="0"/>
              <w:rPr>
                <w:rFonts w:ascii="Arial" w:hAnsi="Arial" w:cs="Arial"/>
                <w:sz w:val="20"/>
              </w:rPr>
            </w:pP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1120" w:type="dxa"/>
            <w:shd w:val="clear" w:color="auto" w:fill="auto"/>
          </w:tcPr>
          <w:p w:rsidR="00F2384E" w:rsidRPr="00330EB0" w:rsidRDefault="00F2384E">
            <w:pPr>
              <w:pStyle w:val="EMPTYCELLSTYLE"/>
              <w:widowControl w:val="0"/>
              <w:rPr>
                <w:rFonts w:ascii="Arial" w:hAnsi="Arial" w:cs="Arial"/>
                <w:sz w:val="20"/>
              </w:rPr>
            </w:pPr>
          </w:p>
        </w:tc>
        <w:tc>
          <w:tcPr>
            <w:tcW w:w="919" w:type="dxa"/>
            <w:shd w:val="clear" w:color="auto" w:fill="auto"/>
          </w:tcPr>
          <w:p w:rsidR="00F2384E" w:rsidRPr="00330EB0" w:rsidRDefault="00F2384E">
            <w:pPr>
              <w:pStyle w:val="EMPTYCELLSTYLE"/>
              <w:widowControl w:val="0"/>
              <w:rPr>
                <w:rFonts w:ascii="Arial" w:hAnsi="Arial" w:cs="Arial"/>
                <w:sz w:val="20"/>
              </w:rPr>
            </w:pPr>
          </w:p>
        </w:tc>
        <w:tc>
          <w:tcPr>
            <w:tcW w:w="76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20"/>
        </w:trPr>
        <w:tc>
          <w:tcPr>
            <w:tcW w:w="40" w:type="dxa"/>
            <w:shd w:val="clear" w:color="auto" w:fill="auto"/>
          </w:tcPr>
          <w:p w:rsidR="00F2384E" w:rsidRPr="00330EB0" w:rsidRDefault="00F2384E">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40"/>
        </w:trPr>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1039" w:type="dxa"/>
            <w:shd w:val="clear" w:color="auto" w:fill="auto"/>
          </w:tcPr>
          <w:p w:rsidR="00F2384E" w:rsidRPr="00330EB0" w:rsidRDefault="00F2384E">
            <w:pPr>
              <w:pStyle w:val="EMPTYCELLSTYLE"/>
              <w:widowControl w:val="0"/>
              <w:rPr>
                <w:rFonts w:ascii="Arial" w:hAnsi="Arial" w:cs="Arial"/>
                <w:sz w:val="20"/>
              </w:rPr>
            </w:pPr>
          </w:p>
        </w:tc>
        <w:tc>
          <w:tcPr>
            <w:tcW w:w="561" w:type="dxa"/>
            <w:shd w:val="clear" w:color="auto" w:fill="auto"/>
          </w:tcPr>
          <w:p w:rsidR="00F2384E" w:rsidRPr="00330EB0" w:rsidRDefault="00F2384E">
            <w:pPr>
              <w:pStyle w:val="EMPTYCELLSTYLE"/>
              <w:widowControl w:val="0"/>
              <w:rPr>
                <w:rFonts w:ascii="Arial" w:hAnsi="Arial" w:cs="Arial"/>
                <w:sz w:val="20"/>
              </w:rPr>
            </w:pPr>
          </w:p>
        </w:tc>
        <w:tc>
          <w:tcPr>
            <w:tcW w:w="800" w:type="dxa"/>
            <w:shd w:val="clear" w:color="auto" w:fill="auto"/>
          </w:tcPr>
          <w:p w:rsidR="00F2384E" w:rsidRPr="00330EB0" w:rsidRDefault="00F2384E">
            <w:pPr>
              <w:pStyle w:val="EMPTYCELLSTYLE"/>
              <w:widowControl w:val="0"/>
              <w:rPr>
                <w:rFonts w:ascii="Arial" w:hAnsi="Arial" w:cs="Arial"/>
                <w:sz w:val="20"/>
              </w:rPr>
            </w:pPr>
          </w:p>
        </w:tc>
        <w:tc>
          <w:tcPr>
            <w:tcW w:w="3479" w:type="dxa"/>
            <w:shd w:val="clear" w:color="auto" w:fill="auto"/>
          </w:tcPr>
          <w:p w:rsidR="00F2384E" w:rsidRPr="00330EB0" w:rsidRDefault="00F2384E">
            <w:pPr>
              <w:pStyle w:val="EMPTYCELLSTYLE"/>
              <w:widowControl w:val="0"/>
              <w:rPr>
                <w:rFonts w:ascii="Arial" w:hAnsi="Arial" w:cs="Arial"/>
                <w:sz w:val="20"/>
              </w:rPr>
            </w:pPr>
          </w:p>
        </w:tc>
        <w:tc>
          <w:tcPr>
            <w:tcW w:w="440"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1121"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779" w:type="dxa"/>
            <w:shd w:val="clear" w:color="auto" w:fill="auto"/>
          </w:tcPr>
          <w:p w:rsidR="00F2384E" w:rsidRPr="00330EB0" w:rsidRDefault="00F2384E">
            <w:pPr>
              <w:pStyle w:val="EMPTYCELLSTYLE"/>
              <w:widowControl w:val="0"/>
              <w:rPr>
                <w:rFonts w:ascii="Arial" w:hAnsi="Arial" w:cs="Arial"/>
                <w:sz w:val="20"/>
              </w:rPr>
            </w:pP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1120" w:type="dxa"/>
            <w:shd w:val="clear" w:color="auto" w:fill="auto"/>
          </w:tcPr>
          <w:p w:rsidR="00F2384E" w:rsidRPr="00330EB0" w:rsidRDefault="00F2384E">
            <w:pPr>
              <w:pStyle w:val="EMPTYCELLSTYLE"/>
              <w:widowControl w:val="0"/>
              <w:rPr>
                <w:rFonts w:ascii="Arial" w:hAnsi="Arial" w:cs="Arial"/>
                <w:sz w:val="20"/>
              </w:rPr>
            </w:pPr>
          </w:p>
        </w:tc>
        <w:tc>
          <w:tcPr>
            <w:tcW w:w="919" w:type="dxa"/>
            <w:shd w:val="clear" w:color="auto" w:fill="auto"/>
          </w:tcPr>
          <w:p w:rsidR="00F2384E" w:rsidRPr="00330EB0" w:rsidRDefault="00F2384E">
            <w:pPr>
              <w:pStyle w:val="EMPTYCELLSTYLE"/>
              <w:widowControl w:val="0"/>
              <w:rPr>
                <w:rFonts w:ascii="Arial" w:hAnsi="Arial" w:cs="Arial"/>
                <w:sz w:val="20"/>
              </w:rPr>
            </w:pPr>
          </w:p>
        </w:tc>
        <w:tc>
          <w:tcPr>
            <w:tcW w:w="76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360"/>
        </w:trPr>
        <w:tc>
          <w:tcPr>
            <w:tcW w:w="40" w:type="dxa"/>
            <w:shd w:val="clear" w:color="auto" w:fill="auto"/>
          </w:tcPr>
          <w:p w:rsidR="00F2384E" w:rsidRPr="00330EB0" w:rsidRDefault="00F2384E">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F2384E" w:rsidRPr="00330EB0" w:rsidRDefault="00F2384E">
            <w:pPr>
              <w:rPr>
                <w:rFonts w:ascii="Arial" w:hAnsi="Arial" w:cs="Arial"/>
                <w:sz w:val="20"/>
                <w:szCs w:val="20"/>
              </w:rPr>
            </w:pPr>
            <w:r w:rsidRPr="00330EB0">
              <w:rPr>
                <w:rFonts w:ascii="Arial" w:eastAsia="Arial Narrow" w:hAnsi="Arial" w:cs="Arial"/>
                <w:color w:val="000000"/>
                <w:sz w:val="20"/>
                <w:szCs w:val="20"/>
              </w:rPr>
              <w:t>10.53101.18.544.2321.00TB.0001 - Apoio à Implantação, Ampliação ou Melhorias de Infraestruturas de Oferta de Água para Segurança Hídrica - Nacional</w:t>
            </w:r>
          </w:p>
        </w:tc>
        <w:tc>
          <w:tcPr>
            <w:tcW w:w="1600" w:type="dxa"/>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169.243.905</w:t>
            </w:r>
          </w:p>
        </w:tc>
        <w:tc>
          <w:tcPr>
            <w:tcW w:w="1601"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49.131.030</w:t>
            </w:r>
          </w:p>
        </w:tc>
        <w:tc>
          <w:tcPr>
            <w:tcW w:w="1600"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-3.444.516</w:t>
            </w:r>
          </w:p>
        </w:tc>
        <w:tc>
          <w:tcPr>
            <w:tcW w:w="1600" w:type="dxa"/>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-4.285.780</w:t>
            </w:r>
          </w:p>
        </w:tc>
        <w:tc>
          <w:tcPr>
            <w:tcW w:w="1600"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41.400.734</w:t>
            </w:r>
          </w:p>
        </w:tc>
        <w:tc>
          <w:tcPr>
            <w:tcW w:w="1719" w:type="dxa"/>
            <w:gridSpan w:val="3"/>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-75,54 %</w:t>
            </w: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540"/>
        </w:trPr>
        <w:tc>
          <w:tcPr>
            <w:tcW w:w="40" w:type="dxa"/>
            <w:shd w:val="clear" w:color="auto" w:fill="auto"/>
          </w:tcPr>
          <w:p w:rsidR="00F2384E" w:rsidRPr="00330EB0" w:rsidRDefault="00F2384E">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F2384E" w:rsidRPr="00330EB0" w:rsidRDefault="00F2384E">
            <w:pPr>
              <w:rPr>
                <w:rFonts w:ascii="Arial" w:hAnsi="Arial" w:cs="Arial"/>
                <w:sz w:val="20"/>
                <w:szCs w:val="20"/>
              </w:rPr>
            </w:pPr>
            <w:r w:rsidRPr="00330EB0">
              <w:rPr>
                <w:rFonts w:ascii="Arial" w:eastAsia="Arial Narrow" w:hAnsi="Arial" w:cs="Arial"/>
                <w:color w:val="000000"/>
                <w:sz w:val="20"/>
                <w:szCs w:val="20"/>
              </w:rPr>
              <w:t>10.53101.18.541.2318.00T5.0001 - Apoio à Realização de Estudos, Projetos e Obras dos Entes Federados para Contenção ou Amortecimento de Cheias e Inundações e para Contenção de Erosões Marinhas e Fluviais - Nacional</w:t>
            </w:r>
          </w:p>
        </w:tc>
        <w:tc>
          <w:tcPr>
            <w:tcW w:w="1600" w:type="dxa"/>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69.144.274</w:t>
            </w:r>
          </w:p>
        </w:tc>
        <w:tc>
          <w:tcPr>
            <w:tcW w:w="1601"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47.760.992</w:t>
            </w:r>
          </w:p>
        </w:tc>
        <w:tc>
          <w:tcPr>
            <w:tcW w:w="1600"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0</w:t>
            </w:r>
          </w:p>
        </w:tc>
        <w:tc>
          <w:tcPr>
            <w:tcW w:w="1600" w:type="dxa"/>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-10.000.000</w:t>
            </w:r>
          </w:p>
        </w:tc>
        <w:tc>
          <w:tcPr>
            <w:tcW w:w="1600"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37.760.992</w:t>
            </w:r>
          </w:p>
        </w:tc>
        <w:tc>
          <w:tcPr>
            <w:tcW w:w="1719" w:type="dxa"/>
            <w:gridSpan w:val="3"/>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-45,39 %</w:t>
            </w: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300"/>
        </w:trPr>
        <w:tc>
          <w:tcPr>
            <w:tcW w:w="40" w:type="dxa"/>
            <w:shd w:val="clear" w:color="auto" w:fill="auto"/>
          </w:tcPr>
          <w:p w:rsidR="00F2384E" w:rsidRPr="00330EB0" w:rsidRDefault="00F2384E">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F2384E" w:rsidRPr="00330EB0" w:rsidRDefault="00F2384E">
            <w:pPr>
              <w:rPr>
                <w:rFonts w:ascii="Arial" w:hAnsi="Arial" w:cs="Arial"/>
                <w:sz w:val="20"/>
                <w:szCs w:val="20"/>
              </w:rPr>
            </w:pPr>
            <w:r w:rsidRPr="00330EB0">
              <w:rPr>
                <w:rFonts w:ascii="Arial" w:eastAsia="Arial Narrow" w:hAnsi="Arial" w:cs="Arial"/>
                <w:color w:val="000000"/>
                <w:sz w:val="20"/>
                <w:szCs w:val="20"/>
              </w:rPr>
              <w:t>10.53101.18.544.2321.21DE.0001 - Estudos e Projetos de Infraestrutura para Segurança Hídrica - Nacional</w:t>
            </w:r>
          </w:p>
        </w:tc>
        <w:tc>
          <w:tcPr>
            <w:tcW w:w="1600" w:type="dxa"/>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17.375.377</w:t>
            </w:r>
          </w:p>
        </w:tc>
        <w:tc>
          <w:tcPr>
            <w:tcW w:w="1601"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13.738.462</w:t>
            </w:r>
          </w:p>
        </w:tc>
        <w:tc>
          <w:tcPr>
            <w:tcW w:w="1600"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0</w:t>
            </w:r>
          </w:p>
        </w:tc>
        <w:tc>
          <w:tcPr>
            <w:tcW w:w="1600" w:type="dxa"/>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-4.121.538</w:t>
            </w:r>
          </w:p>
        </w:tc>
        <w:tc>
          <w:tcPr>
            <w:tcW w:w="1600"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9.616.924</w:t>
            </w:r>
          </w:p>
        </w:tc>
        <w:tc>
          <w:tcPr>
            <w:tcW w:w="1719" w:type="dxa"/>
            <w:gridSpan w:val="3"/>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-44,65 %</w:t>
            </w: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360"/>
        </w:trPr>
        <w:tc>
          <w:tcPr>
            <w:tcW w:w="40" w:type="dxa"/>
            <w:shd w:val="clear" w:color="auto" w:fill="auto"/>
          </w:tcPr>
          <w:p w:rsidR="00F2384E" w:rsidRPr="00330EB0" w:rsidRDefault="00F2384E">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F2384E" w:rsidRPr="00330EB0" w:rsidRDefault="00F2384E">
            <w:pPr>
              <w:rPr>
                <w:rFonts w:ascii="Arial" w:hAnsi="Arial" w:cs="Arial"/>
                <w:sz w:val="20"/>
                <w:szCs w:val="20"/>
              </w:rPr>
            </w:pPr>
            <w:r w:rsidRPr="00330EB0">
              <w:rPr>
                <w:rFonts w:ascii="Arial" w:eastAsia="Arial Narrow" w:hAnsi="Arial" w:cs="Arial"/>
                <w:color w:val="000000"/>
                <w:sz w:val="20"/>
                <w:szCs w:val="20"/>
              </w:rPr>
              <w:t>10.53201.18.544.2321.15XV.0029 - Construção de Sistema Integrado de Abastecimento de Água - Adutora da Fé - No Estado da Bahia</w:t>
            </w:r>
          </w:p>
        </w:tc>
        <w:tc>
          <w:tcPr>
            <w:tcW w:w="1600" w:type="dxa"/>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25.362.183</w:t>
            </w:r>
          </w:p>
        </w:tc>
        <w:tc>
          <w:tcPr>
            <w:tcW w:w="1601"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25.362.183</w:t>
            </w:r>
          </w:p>
        </w:tc>
        <w:tc>
          <w:tcPr>
            <w:tcW w:w="1600"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0</w:t>
            </w:r>
          </w:p>
        </w:tc>
        <w:tc>
          <w:tcPr>
            <w:tcW w:w="1600" w:type="dxa"/>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-9.020.806</w:t>
            </w:r>
          </w:p>
        </w:tc>
        <w:tc>
          <w:tcPr>
            <w:tcW w:w="1600"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16.341.377</w:t>
            </w:r>
          </w:p>
        </w:tc>
        <w:tc>
          <w:tcPr>
            <w:tcW w:w="1719" w:type="dxa"/>
            <w:gridSpan w:val="3"/>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-35,57 %</w:t>
            </w: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360"/>
        </w:trPr>
        <w:tc>
          <w:tcPr>
            <w:tcW w:w="40" w:type="dxa"/>
            <w:shd w:val="clear" w:color="auto" w:fill="auto"/>
          </w:tcPr>
          <w:p w:rsidR="00F2384E" w:rsidRPr="00330EB0" w:rsidRDefault="00F2384E">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F2384E" w:rsidRPr="00330EB0" w:rsidRDefault="00F2384E">
            <w:pPr>
              <w:rPr>
                <w:rFonts w:ascii="Arial" w:hAnsi="Arial" w:cs="Arial"/>
                <w:sz w:val="20"/>
                <w:szCs w:val="20"/>
              </w:rPr>
            </w:pPr>
            <w:r w:rsidRPr="00330EB0">
              <w:rPr>
                <w:rFonts w:ascii="Arial" w:eastAsia="Arial Narrow" w:hAnsi="Arial" w:cs="Arial"/>
                <w:color w:val="000000"/>
                <w:sz w:val="20"/>
                <w:szCs w:val="20"/>
              </w:rPr>
              <w:t>10.53101.18.544.2321.21DD.0001 - Reabilitação de Barragens e de Outras Infraestruturas Hídricas - Nacional</w:t>
            </w:r>
          </w:p>
        </w:tc>
        <w:tc>
          <w:tcPr>
            <w:tcW w:w="1600" w:type="dxa"/>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15.586.452</w:t>
            </w:r>
          </w:p>
        </w:tc>
        <w:tc>
          <w:tcPr>
            <w:tcW w:w="1601"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15.586.452</w:t>
            </w:r>
          </w:p>
        </w:tc>
        <w:tc>
          <w:tcPr>
            <w:tcW w:w="1600"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0</w:t>
            </w:r>
          </w:p>
        </w:tc>
        <w:tc>
          <w:tcPr>
            <w:tcW w:w="1600" w:type="dxa"/>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-4.675.935</w:t>
            </w:r>
          </w:p>
        </w:tc>
        <w:tc>
          <w:tcPr>
            <w:tcW w:w="1600"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10.910.517</w:t>
            </w:r>
          </w:p>
        </w:tc>
        <w:tc>
          <w:tcPr>
            <w:tcW w:w="1719" w:type="dxa"/>
            <w:gridSpan w:val="3"/>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-30,00 %</w:t>
            </w: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300"/>
        </w:trPr>
        <w:tc>
          <w:tcPr>
            <w:tcW w:w="40" w:type="dxa"/>
            <w:shd w:val="clear" w:color="auto" w:fill="auto"/>
          </w:tcPr>
          <w:p w:rsidR="00F2384E" w:rsidRPr="00330EB0" w:rsidRDefault="00F2384E">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F2384E" w:rsidRPr="00330EB0" w:rsidRDefault="00F2384E">
            <w:pPr>
              <w:rPr>
                <w:rFonts w:ascii="Arial" w:hAnsi="Arial" w:cs="Arial"/>
                <w:sz w:val="20"/>
                <w:szCs w:val="20"/>
              </w:rPr>
            </w:pPr>
            <w:r w:rsidRPr="00330EB0">
              <w:rPr>
                <w:rFonts w:ascii="Arial" w:eastAsia="Arial Narrow" w:hAnsi="Arial" w:cs="Arial"/>
                <w:color w:val="000000"/>
                <w:sz w:val="20"/>
                <w:szCs w:val="20"/>
              </w:rPr>
              <w:t>10.53201.18.544.2321.15XW.0022 - Implantação da Barragem Tinguis - No Estado do Piauí</w:t>
            </w:r>
          </w:p>
        </w:tc>
        <w:tc>
          <w:tcPr>
            <w:tcW w:w="1600" w:type="dxa"/>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17.730.660</w:t>
            </w:r>
          </w:p>
        </w:tc>
        <w:tc>
          <w:tcPr>
            <w:tcW w:w="1601"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17.730.660</w:t>
            </w:r>
          </w:p>
        </w:tc>
        <w:tc>
          <w:tcPr>
            <w:tcW w:w="1600"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0</w:t>
            </w:r>
          </w:p>
        </w:tc>
        <w:tc>
          <w:tcPr>
            <w:tcW w:w="1600" w:type="dxa"/>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-5.319.198</w:t>
            </w:r>
          </w:p>
        </w:tc>
        <w:tc>
          <w:tcPr>
            <w:tcW w:w="1600" w:type="dxa"/>
            <w:gridSpan w:val="2"/>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12.411.462</w:t>
            </w:r>
          </w:p>
        </w:tc>
        <w:tc>
          <w:tcPr>
            <w:tcW w:w="1719" w:type="dxa"/>
            <w:gridSpan w:val="3"/>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-30,00 %</w:t>
            </w: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4664"/>
        </w:trPr>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1039" w:type="dxa"/>
            <w:shd w:val="clear" w:color="auto" w:fill="auto"/>
          </w:tcPr>
          <w:p w:rsidR="00F2384E" w:rsidRPr="00330EB0" w:rsidRDefault="00F2384E">
            <w:pPr>
              <w:pStyle w:val="EMPTYCELLSTYLE"/>
              <w:widowControl w:val="0"/>
              <w:rPr>
                <w:rFonts w:ascii="Arial" w:hAnsi="Arial" w:cs="Arial"/>
                <w:sz w:val="20"/>
              </w:rPr>
            </w:pPr>
          </w:p>
        </w:tc>
        <w:tc>
          <w:tcPr>
            <w:tcW w:w="561" w:type="dxa"/>
            <w:shd w:val="clear" w:color="auto" w:fill="auto"/>
          </w:tcPr>
          <w:p w:rsidR="00F2384E" w:rsidRPr="00330EB0" w:rsidRDefault="00F2384E">
            <w:pPr>
              <w:pStyle w:val="EMPTYCELLSTYLE"/>
              <w:widowControl w:val="0"/>
              <w:rPr>
                <w:rFonts w:ascii="Arial" w:hAnsi="Arial" w:cs="Arial"/>
                <w:sz w:val="20"/>
              </w:rPr>
            </w:pPr>
          </w:p>
        </w:tc>
        <w:tc>
          <w:tcPr>
            <w:tcW w:w="800" w:type="dxa"/>
            <w:shd w:val="clear" w:color="auto" w:fill="auto"/>
          </w:tcPr>
          <w:p w:rsidR="00F2384E" w:rsidRPr="00330EB0" w:rsidRDefault="00F2384E">
            <w:pPr>
              <w:pStyle w:val="EMPTYCELLSTYLE"/>
              <w:widowControl w:val="0"/>
              <w:rPr>
                <w:rFonts w:ascii="Arial" w:hAnsi="Arial" w:cs="Arial"/>
                <w:sz w:val="20"/>
              </w:rPr>
            </w:pPr>
          </w:p>
        </w:tc>
        <w:tc>
          <w:tcPr>
            <w:tcW w:w="3479" w:type="dxa"/>
            <w:shd w:val="clear" w:color="auto" w:fill="auto"/>
          </w:tcPr>
          <w:p w:rsidR="00F2384E" w:rsidRPr="00330EB0" w:rsidRDefault="00F2384E">
            <w:pPr>
              <w:pStyle w:val="EMPTYCELLSTYLE"/>
              <w:widowControl w:val="0"/>
              <w:rPr>
                <w:rFonts w:ascii="Arial" w:hAnsi="Arial" w:cs="Arial"/>
                <w:sz w:val="20"/>
              </w:rPr>
            </w:pPr>
          </w:p>
        </w:tc>
        <w:tc>
          <w:tcPr>
            <w:tcW w:w="440"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1121"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779" w:type="dxa"/>
            <w:shd w:val="clear" w:color="auto" w:fill="auto"/>
          </w:tcPr>
          <w:p w:rsidR="00F2384E" w:rsidRPr="00330EB0" w:rsidRDefault="00F2384E">
            <w:pPr>
              <w:pStyle w:val="EMPTYCELLSTYLE"/>
              <w:widowControl w:val="0"/>
              <w:rPr>
                <w:rFonts w:ascii="Arial" w:hAnsi="Arial" w:cs="Arial"/>
                <w:sz w:val="20"/>
              </w:rPr>
            </w:pP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1120" w:type="dxa"/>
            <w:shd w:val="clear" w:color="auto" w:fill="auto"/>
          </w:tcPr>
          <w:p w:rsidR="00F2384E" w:rsidRPr="00330EB0" w:rsidRDefault="00F2384E">
            <w:pPr>
              <w:pStyle w:val="EMPTYCELLSTYLE"/>
              <w:widowControl w:val="0"/>
              <w:rPr>
                <w:rFonts w:ascii="Arial" w:hAnsi="Arial" w:cs="Arial"/>
                <w:sz w:val="20"/>
              </w:rPr>
            </w:pPr>
          </w:p>
        </w:tc>
        <w:tc>
          <w:tcPr>
            <w:tcW w:w="919" w:type="dxa"/>
            <w:shd w:val="clear" w:color="auto" w:fill="auto"/>
          </w:tcPr>
          <w:p w:rsidR="00F2384E" w:rsidRPr="00330EB0" w:rsidRDefault="00F2384E">
            <w:pPr>
              <w:pStyle w:val="EMPTYCELLSTYLE"/>
              <w:widowControl w:val="0"/>
              <w:rPr>
                <w:rFonts w:ascii="Arial" w:hAnsi="Arial" w:cs="Arial"/>
                <w:sz w:val="20"/>
              </w:rPr>
            </w:pPr>
          </w:p>
        </w:tc>
        <w:tc>
          <w:tcPr>
            <w:tcW w:w="76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20"/>
        </w:trPr>
        <w:tc>
          <w:tcPr>
            <w:tcW w:w="40" w:type="dxa"/>
            <w:shd w:val="clear" w:color="auto" w:fill="auto"/>
          </w:tcPr>
          <w:p w:rsidR="00F2384E" w:rsidRPr="00330EB0" w:rsidRDefault="00F2384E">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60"/>
        </w:trPr>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1039" w:type="dxa"/>
            <w:shd w:val="clear" w:color="auto" w:fill="auto"/>
          </w:tcPr>
          <w:p w:rsidR="00F2384E" w:rsidRPr="00330EB0" w:rsidRDefault="00F2384E">
            <w:pPr>
              <w:pStyle w:val="EMPTYCELLSTYLE"/>
              <w:widowControl w:val="0"/>
              <w:rPr>
                <w:rFonts w:ascii="Arial" w:hAnsi="Arial" w:cs="Arial"/>
                <w:sz w:val="20"/>
              </w:rPr>
            </w:pPr>
          </w:p>
        </w:tc>
        <w:tc>
          <w:tcPr>
            <w:tcW w:w="561" w:type="dxa"/>
            <w:shd w:val="clear" w:color="auto" w:fill="auto"/>
          </w:tcPr>
          <w:p w:rsidR="00F2384E" w:rsidRPr="00330EB0" w:rsidRDefault="00F2384E">
            <w:pPr>
              <w:pStyle w:val="EMPTYCELLSTYLE"/>
              <w:widowControl w:val="0"/>
              <w:rPr>
                <w:rFonts w:ascii="Arial" w:hAnsi="Arial" w:cs="Arial"/>
                <w:sz w:val="20"/>
              </w:rPr>
            </w:pPr>
          </w:p>
        </w:tc>
        <w:tc>
          <w:tcPr>
            <w:tcW w:w="800" w:type="dxa"/>
            <w:shd w:val="clear" w:color="auto" w:fill="auto"/>
          </w:tcPr>
          <w:p w:rsidR="00F2384E" w:rsidRPr="00330EB0" w:rsidRDefault="00F2384E">
            <w:pPr>
              <w:pStyle w:val="EMPTYCELLSTYLE"/>
              <w:widowControl w:val="0"/>
              <w:rPr>
                <w:rFonts w:ascii="Arial" w:hAnsi="Arial" w:cs="Arial"/>
                <w:sz w:val="20"/>
              </w:rPr>
            </w:pPr>
          </w:p>
        </w:tc>
        <w:tc>
          <w:tcPr>
            <w:tcW w:w="3479" w:type="dxa"/>
            <w:shd w:val="clear" w:color="auto" w:fill="auto"/>
          </w:tcPr>
          <w:p w:rsidR="00F2384E" w:rsidRPr="00330EB0" w:rsidRDefault="00F2384E">
            <w:pPr>
              <w:pStyle w:val="EMPTYCELLSTYLE"/>
              <w:widowControl w:val="0"/>
              <w:rPr>
                <w:rFonts w:ascii="Arial" w:hAnsi="Arial" w:cs="Arial"/>
                <w:sz w:val="20"/>
              </w:rPr>
            </w:pPr>
          </w:p>
        </w:tc>
        <w:tc>
          <w:tcPr>
            <w:tcW w:w="440"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1121"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779" w:type="dxa"/>
            <w:shd w:val="clear" w:color="auto" w:fill="auto"/>
          </w:tcPr>
          <w:p w:rsidR="00F2384E" w:rsidRPr="00330EB0" w:rsidRDefault="00F2384E">
            <w:pPr>
              <w:pStyle w:val="EMPTYCELLSTYLE"/>
              <w:widowControl w:val="0"/>
              <w:rPr>
                <w:rFonts w:ascii="Arial" w:hAnsi="Arial" w:cs="Arial"/>
                <w:sz w:val="20"/>
              </w:rPr>
            </w:pP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1120" w:type="dxa"/>
            <w:shd w:val="clear" w:color="auto" w:fill="auto"/>
          </w:tcPr>
          <w:p w:rsidR="00F2384E" w:rsidRPr="00330EB0" w:rsidRDefault="00F2384E">
            <w:pPr>
              <w:pStyle w:val="EMPTYCELLSTYLE"/>
              <w:widowControl w:val="0"/>
              <w:rPr>
                <w:rFonts w:ascii="Arial" w:hAnsi="Arial" w:cs="Arial"/>
                <w:sz w:val="20"/>
              </w:rPr>
            </w:pPr>
          </w:p>
        </w:tc>
        <w:tc>
          <w:tcPr>
            <w:tcW w:w="919" w:type="dxa"/>
            <w:shd w:val="clear" w:color="auto" w:fill="auto"/>
          </w:tcPr>
          <w:p w:rsidR="00F2384E" w:rsidRPr="00330EB0" w:rsidRDefault="00F2384E">
            <w:pPr>
              <w:pStyle w:val="EMPTYCELLSTYLE"/>
              <w:widowControl w:val="0"/>
              <w:rPr>
                <w:rFonts w:ascii="Arial" w:hAnsi="Arial" w:cs="Arial"/>
                <w:sz w:val="20"/>
              </w:rPr>
            </w:pPr>
          </w:p>
        </w:tc>
        <w:tc>
          <w:tcPr>
            <w:tcW w:w="76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20"/>
        </w:trPr>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1039" w:type="dxa"/>
            <w:shd w:val="clear" w:color="auto" w:fill="auto"/>
          </w:tcPr>
          <w:p w:rsidR="00F2384E" w:rsidRPr="00330EB0" w:rsidRDefault="00F2384E">
            <w:pPr>
              <w:pStyle w:val="EMPTYCELLSTYLE"/>
              <w:widowControl w:val="0"/>
              <w:rPr>
                <w:rFonts w:ascii="Arial" w:hAnsi="Arial" w:cs="Arial"/>
                <w:sz w:val="20"/>
              </w:rPr>
            </w:pPr>
          </w:p>
        </w:tc>
        <w:tc>
          <w:tcPr>
            <w:tcW w:w="561" w:type="dxa"/>
            <w:shd w:val="clear" w:color="auto" w:fill="auto"/>
          </w:tcPr>
          <w:p w:rsidR="00F2384E" w:rsidRPr="00330EB0" w:rsidRDefault="00F2384E">
            <w:pPr>
              <w:pStyle w:val="EMPTYCELLSTYLE"/>
              <w:widowControl w:val="0"/>
              <w:rPr>
                <w:rFonts w:ascii="Arial" w:hAnsi="Arial" w:cs="Arial"/>
                <w:sz w:val="20"/>
              </w:rPr>
            </w:pPr>
          </w:p>
        </w:tc>
        <w:tc>
          <w:tcPr>
            <w:tcW w:w="800" w:type="dxa"/>
            <w:shd w:val="clear" w:color="auto" w:fill="auto"/>
          </w:tcPr>
          <w:p w:rsidR="00F2384E" w:rsidRPr="00330EB0" w:rsidRDefault="00F2384E">
            <w:pPr>
              <w:pStyle w:val="EMPTYCELLSTYLE"/>
              <w:widowControl w:val="0"/>
              <w:rPr>
                <w:rFonts w:ascii="Arial" w:hAnsi="Arial" w:cs="Arial"/>
                <w:sz w:val="20"/>
              </w:rPr>
            </w:pPr>
          </w:p>
        </w:tc>
        <w:tc>
          <w:tcPr>
            <w:tcW w:w="3479" w:type="dxa"/>
            <w:shd w:val="clear" w:color="auto" w:fill="auto"/>
          </w:tcPr>
          <w:p w:rsidR="00F2384E" w:rsidRPr="00330EB0" w:rsidRDefault="00F2384E">
            <w:pPr>
              <w:pStyle w:val="EMPTYCELLSTYLE"/>
              <w:widowControl w:val="0"/>
              <w:rPr>
                <w:rFonts w:ascii="Arial" w:hAnsi="Arial" w:cs="Arial"/>
                <w:sz w:val="20"/>
              </w:rPr>
            </w:pPr>
          </w:p>
        </w:tc>
        <w:tc>
          <w:tcPr>
            <w:tcW w:w="4420" w:type="dxa"/>
            <w:gridSpan w:val="5"/>
            <w:vMerge w:val="restart"/>
            <w:shd w:val="clear" w:color="auto" w:fill="auto"/>
            <w:tcMar>
              <w:left w:w="0" w:type="dxa"/>
              <w:right w:w="0" w:type="dxa"/>
            </w:tcMar>
          </w:tcPr>
          <w:p w:rsidR="00F2384E" w:rsidRPr="00330EB0" w:rsidRDefault="00F2384E">
            <w:pPr>
              <w:jc w:val="center"/>
              <w:rPr>
                <w:rFonts w:ascii="Arial" w:hAnsi="Arial" w:cs="Arial"/>
                <w:sz w:val="20"/>
                <w:szCs w:val="20"/>
              </w:rPr>
            </w:pPr>
            <w:r w:rsidRPr="00330EB0">
              <w:rPr>
                <w:rFonts w:ascii="Arial" w:eastAsia="SansSerif" w:hAnsi="Arial" w:cs="Arial"/>
                <w:color w:val="000000"/>
                <w:sz w:val="20"/>
                <w:szCs w:val="20"/>
              </w:rPr>
              <w:t>SIOP - http://www.siop.planejamento.gov.br</w:t>
            </w: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2799" w:type="dxa"/>
            <w:gridSpan w:val="3"/>
            <w:vMerge w:val="restart"/>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SansSerif" w:hAnsi="Arial" w:cs="Arial"/>
                <w:color w:val="000000"/>
                <w:sz w:val="20"/>
                <w:szCs w:val="20"/>
              </w:rPr>
              <w:t>09/09/2024 11:02</w:t>
            </w: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200"/>
        </w:trPr>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1600" w:type="dxa"/>
            <w:gridSpan w:val="2"/>
            <w:vMerge w:val="restart"/>
            <w:shd w:val="clear" w:color="auto" w:fill="auto"/>
            <w:tcMar>
              <w:left w:w="0" w:type="dxa"/>
              <w:right w:w="0" w:type="dxa"/>
            </w:tcMar>
          </w:tcPr>
          <w:p w:rsidR="00F2384E" w:rsidRPr="00330EB0" w:rsidRDefault="00F2384E">
            <w:pPr>
              <w:jc w:val="right"/>
              <w:rPr>
                <w:rFonts w:ascii="Arial" w:hAnsi="Arial" w:cs="Arial"/>
                <w:sz w:val="20"/>
                <w:szCs w:val="20"/>
              </w:rPr>
            </w:pPr>
            <w:r w:rsidRPr="00330EB0">
              <w:rPr>
                <w:rFonts w:ascii="Arial" w:eastAsia="Arial Narrow" w:hAnsi="Arial" w:cs="Arial"/>
                <w:color w:val="000000"/>
                <w:sz w:val="20"/>
                <w:szCs w:val="20"/>
              </w:rPr>
              <w:t>Página 1 de</w:t>
            </w:r>
          </w:p>
        </w:tc>
        <w:tc>
          <w:tcPr>
            <w:tcW w:w="800" w:type="dxa"/>
            <w:vMerge w:val="restart"/>
            <w:shd w:val="clear" w:color="auto" w:fill="auto"/>
            <w:tcMar>
              <w:left w:w="0" w:type="dxa"/>
              <w:right w:w="0" w:type="dxa"/>
            </w:tcMar>
          </w:tcPr>
          <w:p w:rsidR="00F2384E" w:rsidRPr="00330EB0" w:rsidRDefault="00F2384E">
            <w:pPr>
              <w:rPr>
                <w:rFonts w:ascii="Arial" w:hAnsi="Arial" w:cs="Arial"/>
                <w:sz w:val="20"/>
                <w:szCs w:val="20"/>
              </w:rPr>
            </w:pPr>
            <w:r w:rsidRPr="00330EB0">
              <w:rPr>
                <w:rFonts w:ascii="Arial" w:eastAsia="Arial Narrow" w:hAnsi="Arial" w:cs="Arial"/>
                <w:color w:val="000000"/>
                <w:sz w:val="20"/>
                <w:szCs w:val="20"/>
              </w:rPr>
              <w:t xml:space="preserve"> 1</w:t>
            </w:r>
          </w:p>
        </w:tc>
        <w:tc>
          <w:tcPr>
            <w:tcW w:w="3479" w:type="dxa"/>
            <w:shd w:val="clear" w:color="auto" w:fill="auto"/>
          </w:tcPr>
          <w:p w:rsidR="00F2384E" w:rsidRPr="00330EB0" w:rsidRDefault="00F2384E">
            <w:pPr>
              <w:pStyle w:val="EMPTYCELLSTYLE"/>
              <w:widowControl w:val="0"/>
              <w:rPr>
                <w:rFonts w:ascii="Arial" w:hAnsi="Arial" w:cs="Arial"/>
                <w:sz w:val="20"/>
              </w:rPr>
            </w:pPr>
          </w:p>
        </w:tc>
        <w:tc>
          <w:tcPr>
            <w:tcW w:w="4420" w:type="dxa"/>
            <w:gridSpan w:val="5"/>
            <w:vMerge/>
            <w:shd w:val="clear" w:color="auto" w:fill="auto"/>
            <w:tcMar>
              <w:left w:w="0" w:type="dxa"/>
              <w:right w:w="0" w:type="dxa"/>
            </w:tcMar>
          </w:tcPr>
          <w:p w:rsidR="00F2384E" w:rsidRPr="00330EB0" w:rsidRDefault="00F2384E">
            <w:pPr>
              <w:pStyle w:val="EMPTYCELLSTYLE"/>
              <w:widowControl w:val="0"/>
              <w:rPr>
                <w:rFonts w:ascii="Arial" w:hAnsi="Arial" w:cs="Arial"/>
                <w:sz w:val="20"/>
              </w:rPr>
            </w:pP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2799" w:type="dxa"/>
            <w:gridSpan w:val="3"/>
            <w:vMerge/>
            <w:shd w:val="clear" w:color="auto" w:fill="auto"/>
            <w:tcMar>
              <w:left w:w="0" w:type="dxa"/>
              <w:right w:w="0" w:type="dxa"/>
            </w:tcMar>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tr w:rsidR="00F2384E" w:rsidRPr="00330EB0" w:rsidTr="00F2384E">
        <w:trPr>
          <w:trHeight w:hRule="exact" w:val="40"/>
        </w:trPr>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1600" w:type="dxa"/>
            <w:gridSpan w:val="2"/>
            <w:vMerge/>
            <w:shd w:val="clear" w:color="auto" w:fill="auto"/>
            <w:tcMar>
              <w:left w:w="0" w:type="dxa"/>
              <w:right w:w="0" w:type="dxa"/>
            </w:tcMar>
          </w:tcPr>
          <w:p w:rsidR="00F2384E" w:rsidRPr="00330EB0" w:rsidRDefault="00F2384E">
            <w:pPr>
              <w:pStyle w:val="EMPTYCELLSTYLE"/>
              <w:widowControl w:val="0"/>
              <w:rPr>
                <w:rFonts w:ascii="Arial" w:hAnsi="Arial" w:cs="Arial"/>
                <w:sz w:val="20"/>
              </w:rPr>
            </w:pPr>
          </w:p>
        </w:tc>
        <w:tc>
          <w:tcPr>
            <w:tcW w:w="800" w:type="dxa"/>
            <w:vMerge/>
            <w:shd w:val="clear" w:color="auto" w:fill="auto"/>
            <w:tcMar>
              <w:left w:w="0" w:type="dxa"/>
              <w:right w:w="0" w:type="dxa"/>
            </w:tcMar>
          </w:tcPr>
          <w:p w:rsidR="00F2384E" w:rsidRPr="00330EB0" w:rsidRDefault="00F2384E">
            <w:pPr>
              <w:pStyle w:val="EMPTYCELLSTYLE"/>
              <w:widowControl w:val="0"/>
              <w:rPr>
                <w:rFonts w:ascii="Arial" w:hAnsi="Arial" w:cs="Arial"/>
                <w:sz w:val="20"/>
              </w:rPr>
            </w:pPr>
          </w:p>
        </w:tc>
        <w:tc>
          <w:tcPr>
            <w:tcW w:w="3479" w:type="dxa"/>
            <w:shd w:val="clear" w:color="auto" w:fill="auto"/>
          </w:tcPr>
          <w:p w:rsidR="00F2384E" w:rsidRPr="00330EB0" w:rsidRDefault="00F2384E">
            <w:pPr>
              <w:pStyle w:val="EMPTYCELLSTYLE"/>
              <w:widowControl w:val="0"/>
              <w:rPr>
                <w:rFonts w:ascii="Arial" w:hAnsi="Arial" w:cs="Arial"/>
                <w:sz w:val="20"/>
              </w:rPr>
            </w:pPr>
          </w:p>
        </w:tc>
        <w:tc>
          <w:tcPr>
            <w:tcW w:w="440"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1121"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779" w:type="dxa"/>
            <w:shd w:val="clear" w:color="auto" w:fill="auto"/>
          </w:tcPr>
          <w:p w:rsidR="00F2384E" w:rsidRPr="00330EB0" w:rsidRDefault="00F2384E">
            <w:pPr>
              <w:pStyle w:val="EMPTYCELLSTYLE"/>
              <w:widowControl w:val="0"/>
              <w:rPr>
                <w:rFonts w:ascii="Arial" w:hAnsi="Arial" w:cs="Arial"/>
                <w:sz w:val="20"/>
              </w:rPr>
            </w:pPr>
          </w:p>
        </w:tc>
        <w:tc>
          <w:tcPr>
            <w:tcW w:w="821" w:type="dxa"/>
            <w:shd w:val="clear" w:color="auto" w:fill="auto"/>
          </w:tcPr>
          <w:p w:rsidR="00F2384E" w:rsidRPr="00330EB0" w:rsidRDefault="00F2384E">
            <w:pPr>
              <w:pStyle w:val="EMPTYCELLSTYLE"/>
              <w:widowControl w:val="0"/>
              <w:rPr>
                <w:rFonts w:ascii="Arial" w:hAnsi="Arial" w:cs="Arial"/>
                <w:sz w:val="20"/>
              </w:rPr>
            </w:pPr>
          </w:p>
        </w:tc>
        <w:tc>
          <w:tcPr>
            <w:tcW w:w="1600" w:type="dxa"/>
            <w:shd w:val="clear" w:color="auto" w:fill="auto"/>
          </w:tcPr>
          <w:p w:rsidR="00F2384E" w:rsidRPr="00330EB0" w:rsidRDefault="00F2384E">
            <w:pPr>
              <w:pStyle w:val="EMPTYCELLSTYLE"/>
              <w:widowControl w:val="0"/>
              <w:rPr>
                <w:rFonts w:ascii="Arial" w:hAnsi="Arial" w:cs="Arial"/>
                <w:sz w:val="20"/>
              </w:rPr>
            </w:pPr>
          </w:p>
        </w:tc>
        <w:tc>
          <w:tcPr>
            <w:tcW w:w="480" w:type="dxa"/>
            <w:shd w:val="clear" w:color="auto" w:fill="auto"/>
          </w:tcPr>
          <w:p w:rsidR="00F2384E" w:rsidRPr="00330EB0" w:rsidRDefault="00F2384E">
            <w:pPr>
              <w:pStyle w:val="EMPTYCELLSTYLE"/>
              <w:widowControl w:val="0"/>
              <w:rPr>
                <w:rFonts w:ascii="Arial" w:hAnsi="Arial" w:cs="Arial"/>
                <w:sz w:val="20"/>
              </w:rPr>
            </w:pPr>
          </w:p>
        </w:tc>
        <w:tc>
          <w:tcPr>
            <w:tcW w:w="1120" w:type="dxa"/>
            <w:shd w:val="clear" w:color="auto" w:fill="auto"/>
          </w:tcPr>
          <w:p w:rsidR="00F2384E" w:rsidRPr="00330EB0" w:rsidRDefault="00F2384E">
            <w:pPr>
              <w:pStyle w:val="EMPTYCELLSTYLE"/>
              <w:widowControl w:val="0"/>
              <w:rPr>
                <w:rFonts w:ascii="Arial" w:hAnsi="Arial" w:cs="Arial"/>
                <w:sz w:val="20"/>
              </w:rPr>
            </w:pPr>
          </w:p>
        </w:tc>
        <w:tc>
          <w:tcPr>
            <w:tcW w:w="919" w:type="dxa"/>
            <w:shd w:val="clear" w:color="auto" w:fill="auto"/>
          </w:tcPr>
          <w:p w:rsidR="00F2384E" w:rsidRPr="00330EB0" w:rsidRDefault="00F2384E">
            <w:pPr>
              <w:pStyle w:val="EMPTYCELLSTYLE"/>
              <w:widowControl w:val="0"/>
              <w:rPr>
                <w:rFonts w:ascii="Arial" w:hAnsi="Arial" w:cs="Arial"/>
                <w:sz w:val="20"/>
              </w:rPr>
            </w:pPr>
          </w:p>
        </w:tc>
        <w:tc>
          <w:tcPr>
            <w:tcW w:w="76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c>
          <w:tcPr>
            <w:tcW w:w="40" w:type="dxa"/>
            <w:shd w:val="clear" w:color="auto" w:fill="auto"/>
          </w:tcPr>
          <w:p w:rsidR="00F2384E" w:rsidRPr="00330EB0" w:rsidRDefault="00F2384E">
            <w:pPr>
              <w:pStyle w:val="EMPTYCELLSTYLE"/>
              <w:widowControl w:val="0"/>
              <w:rPr>
                <w:rFonts w:ascii="Arial" w:hAnsi="Arial" w:cs="Arial"/>
                <w:sz w:val="20"/>
              </w:rPr>
            </w:pPr>
          </w:p>
        </w:tc>
      </w:tr>
      <w:bookmarkEnd w:id="0"/>
    </w:tbl>
    <w:p w:rsidR="0076283B" w:rsidRPr="00330EB0" w:rsidRDefault="0076283B">
      <w:pPr>
        <w:pStyle w:val="Standard"/>
        <w:ind w:left="567" w:right="284"/>
        <w:rPr>
          <w:rFonts w:ascii="Arial" w:hAnsi="Arial" w:cs="Arial"/>
          <w:b/>
          <w:i/>
          <w:sz w:val="20"/>
          <w:szCs w:val="20"/>
        </w:rPr>
      </w:pPr>
    </w:p>
    <w:sectPr w:rsidR="0076283B" w:rsidRPr="00330EB0" w:rsidSect="0055373B">
      <w:pgSz w:w="16838" w:h="11906"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021" w:rsidRDefault="00B77AF0">
      <w:r>
        <w:separator/>
      </w:r>
    </w:p>
  </w:endnote>
  <w:endnote w:type="continuationSeparator" w:id="0">
    <w:p w:rsidR="00D94021" w:rsidRDefault="00B7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roman"/>
    <w:pitch w:val="variable"/>
  </w:font>
  <w:font w:name="Thorndale">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ansSerif">
    <w:altName w:val="Arial"/>
    <w:charset w:val="00"/>
    <w:family w:val="auto"/>
    <w:pitch w:val="variable"/>
  </w:font>
  <w:font w:name="font319">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021" w:rsidRDefault="00B77AF0">
      <w:r>
        <w:rPr>
          <w:color w:val="000000"/>
        </w:rPr>
        <w:separator/>
      </w:r>
    </w:p>
  </w:footnote>
  <w:footnote w:type="continuationSeparator" w:id="0">
    <w:p w:rsidR="00D94021" w:rsidRDefault="00B77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33"/>
    <w:rsid w:val="003034F2"/>
    <w:rsid w:val="00330EB0"/>
    <w:rsid w:val="005A3045"/>
    <w:rsid w:val="00673898"/>
    <w:rsid w:val="006F4533"/>
    <w:rsid w:val="0076283B"/>
    <w:rsid w:val="00B77AF0"/>
    <w:rsid w:val="00D94021"/>
    <w:rsid w:val="00ED6951"/>
    <w:rsid w:val="00F2384E"/>
    <w:rsid w:val="00F54A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43AD578-C1FE-4D39-89B7-E9D43B69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SemEspaamento1">
    <w:name w:val="Sem Espaçamento1"/>
    <w:rsid w:val="0076283B"/>
    <w:pPr>
      <w:widowControl/>
      <w:suppressAutoHyphens/>
      <w:autoSpaceDN/>
      <w:textAlignment w:val="auto"/>
    </w:pPr>
    <w:rPr>
      <w:rFonts w:eastAsia="Times New Roman" w:cs="Times New Roman"/>
      <w:kern w:val="0"/>
      <w:szCs w:val="20"/>
      <w:lang w:eastAsia="pt-BR" w:bidi="ar-SA"/>
    </w:rPr>
  </w:style>
  <w:style w:type="paragraph" w:customStyle="1" w:styleId="Contedodatabela">
    <w:name w:val="Conteúdo da tabela"/>
    <w:basedOn w:val="Normal"/>
    <w:rsid w:val="0076283B"/>
    <w:pPr>
      <w:autoSpaceDN/>
      <w:textAlignment w:val="auto"/>
    </w:pPr>
    <w:rPr>
      <w:rFonts w:eastAsia="Times New Roman" w:cs="Times New Roman"/>
      <w:kern w:val="2"/>
      <w:lang w:eastAsia="pt-BR" w:bidi="ar-SA"/>
    </w:rPr>
  </w:style>
  <w:style w:type="paragraph" w:customStyle="1" w:styleId="EMPTYCELLSTYLE">
    <w:name w:val="EMPTY_CELL_STYLE"/>
    <w:rsid w:val="00F54A07"/>
    <w:pPr>
      <w:widowControl/>
      <w:suppressAutoHyphens/>
      <w:autoSpaceDN/>
      <w:textAlignment w:val="auto"/>
    </w:pPr>
    <w:rPr>
      <w:rFonts w:ascii="SansSerif" w:eastAsia="SansSerif" w:hAnsi="SansSerif" w:cs="SansSerif"/>
      <w:color w:val="000000"/>
      <w:kern w:val="0"/>
      <w:sz w:val="1"/>
      <w:szCs w:val="20"/>
      <w:lang w:eastAsia="pt-BR" w:bidi="ar-SA"/>
    </w:rPr>
  </w:style>
  <w:style w:type="paragraph" w:customStyle="1" w:styleId="SemEspaamento2">
    <w:name w:val="Sem Espaçamento2"/>
    <w:rsid w:val="00F2384E"/>
    <w:pPr>
      <w:widowControl/>
      <w:suppressAutoHyphens/>
      <w:autoSpaceDN/>
      <w:textAlignment w:val="auto"/>
    </w:pPr>
    <w:rPr>
      <w:rFonts w:eastAsia="Times New Roman" w:cs="Times New Roman"/>
      <w:kern w:val="0"/>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5105</Characters>
  <Application>Microsoft Office Word</Application>
  <DocSecurity>4</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Presidência da República</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Edvaldo Luiz da Silva</cp:lastModifiedBy>
  <cp:revision>2</cp:revision>
  <dcterms:created xsi:type="dcterms:W3CDTF">2024-09-30T18:32:00Z</dcterms:created>
  <dcterms:modified xsi:type="dcterms:W3CDTF">2024-09-30T18:32:00Z</dcterms:modified>
</cp:coreProperties>
</file>