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F5BE" w14:textId="77777777" w:rsidR="009750ED" w:rsidRPr="00FA5EE2" w:rsidRDefault="009750ED" w:rsidP="009750ED">
      <w:pPr>
        <w:spacing w:before="567" w:after="0" w:line="240" w:lineRule="auto"/>
        <w:ind w:left="680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FA5EE2">
        <w:rPr>
          <w:rFonts w:ascii="Arial" w:eastAsia="Times New Roman" w:hAnsi="Arial" w:cs="Arial"/>
          <w:sz w:val="20"/>
          <w:szCs w:val="20"/>
          <w:lang w:eastAsia="pt-BR"/>
        </w:rPr>
        <w:t>EM n</w:t>
      </w:r>
      <w:r w:rsidRPr="00FA5EE2">
        <w:rPr>
          <w:rFonts w:ascii="Arial" w:eastAsia="Times New Roman" w:hAnsi="Arial" w:cs="Arial"/>
          <w:strike/>
          <w:sz w:val="20"/>
          <w:szCs w:val="20"/>
          <w:lang w:eastAsia="pt-BR"/>
        </w:rPr>
        <w:t>º</w:t>
      </w:r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00065/2024 MPO</w:t>
      </w:r>
    </w:p>
    <w:p w14:paraId="56E261F3" w14:textId="77777777" w:rsidR="009750ED" w:rsidRPr="00FA5EE2" w:rsidRDefault="009750ED" w:rsidP="009750ED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5D47EA5" w14:textId="7A3FC8AB" w:rsidR="009750ED" w:rsidRPr="00FA5EE2" w:rsidRDefault="008F55AD" w:rsidP="00975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Brasília, 1</w:t>
      </w:r>
      <w:r w:rsidR="00C26ACE" w:rsidRPr="00FA5EE2"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proofErr w:type="gramStart"/>
      <w:r w:rsidRPr="00FA5EE2">
        <w:rPr>
          <w:rFonts w:ascii="Arial" w:eastAsia="Times New Roman" w:hAnsi="Arial" w:cs="Arial"/>
          <w:sz w:val="20"/>
          <w:szCs w:val="20"/>
          <w:lang w:eastAsia="pt-BR"/>
        </w:rPr>
        <w:t>Agosto</w:t>
      </w:r>
      <w:proofErr w:type="gramEnd"/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de 2024</w:t>
      </w:r>
    </w:p>
    <w:p w14:paraId="040B51D8" w14:textId="77777777" w:rsidR="009750ED" w:rsidRPr="00FA5EE2" w:rsidRDefault="009750ED" w:rsidP="009750ED">
      <w:pPr>
        <w:spacing w:before="113" w:after="567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A5EE2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14:paraId="414F6D09" w14:textId="77777777" w:rsidR="009750ED" w:rsidRPr="00FA5EE2" w:rsidRDefault="009750ED" w:rsidP="009750ED">
      <w:pPr>
        <w:spacing w:before="100" w:beforeAutospacing="1" w:after="198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1.               </w:t>
      </w:r>
      <w:proofErr w:type="gramStart"/>
      <w:r w:rsidRPr="00FA5EE2">
        <w:rPr>
          <w:rFonts w:ascii="Arial" w:eastAsia="Times New Roman" w:hAnsi="Arial" w:cs="Arial"/>
          <w:sz w:val="20"/>
          <w:szCs w:val="20"/>
          <w:lang w:eastAsia="pt-BR"/>
        </w:rPr>
        <w:t> Encaminho</w:t>
      </w:r>
      <w:proofErr w:type="gramEnd"/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à sua consideração o anexo Projeto de Lei que “Altera a Lei nº 14.791, de 29 de dezembro de 2023, que dispõe sobre as diretrizes para a elaboração e a execução da Lei Orçamentária de 2024”. </w:t>
      </w:r>
    </w:p>
    <w:p w14:paraId="1F16DA7F" w14:textId="77777777" w:rsidR="009750ED" w:rsidRPr="00FA5EE2" w:rsidRDefault="009750ED" w:rsidP="009750ED">
      <w:pPr>
        <w:spacing w:before="100" w:beforeAutospacing="1" w:after="198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2.                A calamidade pública, reconhecida pelo Decreto Legislativo nº 36, de 7 de maio de 2024, teve impacto relevante sobre as condições socioeconômicas de pessoas físicas e jurídicas com residência, domicílio, sede ou estabelecimento nos municípios afetados do Rio Grande do Sul, motivo pelo qual requer medidas urgentes e excepcionais que viabilizem, em particular, o acesso a crédito para a retomada das atividades produtivas.</w:t>
      </w:r>
    </w:p>
    <w:p w14:paraId="4AC90703" w14:textId="77777777" w:rsidR="009750ED" w:rsidRPr="00FA5EE2" w:rsidRDefault="009750ED" w:rsidP="009750ED">
      <w:pPr>
        <w:spacing w:before="100" w:beforeAutospacing="1" w:after="198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3.                Neste contexto, propõe-se a alteração da Lei nº 14.791, de 29 de dezembro de 2023, Lei de Diretrizes Orçamentárias para 2024, LDO-2024, para dispor que as agências financeiras oficiais de fomento ficam dispensadas de observar impedimentos e restrições legais para acesso ao crédito de pessoas físicas e jurídicas, com residência, domicílio, sede ou estabelecimento </w:t>
      </w:r>
      <w:r w:rsidRPr="00FA5EE2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nos municípios atingidos pela calamidade, nas operações de contratação, renovação ou renegociação, realizadas diretamente ou por meio de agentes financeiros, observado o disposto no § 3º do art. 195 da Constituição Federal. </w:t>
      </w:r>
    </w:p>
    <w:p w14:paraId="1D1EE5DE" w14:textId="77777777" w:rsidR="009750ED" w:rsidRPr="00FA5EE2" w:rsidRDefault="009750ED" w:rsidP="009750ED">
      <w:pPr>
        <w:spacing w:before="100" w:beforeAutospacing="1" w:after="198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4.               </w:t>
      </w:r>
      <w:proofErr w:type="gramStart"/>
      <w:r w:rsidRPr="00FA5EE2">
        <w:rPr>
          <w:rFonts w:ascii="Arial" w:eastAsia="Times New Roman" w:hAnsi="Arial" w:cs="Arial"/>
          <w:sz w:val="20"/>
          <w:szCs w:val="20"/>
          <w:lang w:eastAsia="pt-BR"/>
        </w:rPr>
        <w:t> Cabe</w:t>
      </w:r>
      <w:proofErr w:type="gramEnd"/>
      <w:r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ressaltar que as restrições ora dispensadas não atingem os envolvidos que se encontrem em débito com o sistema da seguridade social e nem os eximem da apresentação do Certificado de Regularidade do Fundo de Garantia do Tempo de Serviço - FGTS, de que tratam, respectivamente, o § 3º do art. 195 da Constituição Federal e o art. 27 da Lei nº 8.036, de 11 de maio de 1990.</w:t>
      </w:r>
      <w:r w:rsidR="00FB3FBC" w:rsidRPr="00FA5EE2">
        <w:rPr>
          <w:rFonts w:ascii="Arial" w:eastAsia="Times New Roman" w:hAnsi="Arial" w:cs="Arial"/>
          <w:sz w:val="20"/>
          <w:szCs w:val="20"/>
          <w:lang w:eastAsia="pt-BR"/>
        </w:rPr>
        <w:t xml:space="preserve"> No caso do FGTS, vale registrar, o afastamento da regularidade se aplica exclusivamente aos débitos cujos fatos geradores tenham ocorrido após o início dos notórios eventos climáticos.</w:t>
      </w:r>
    </w:p>
    <w:p w14:paraId="5289FE2C" w14:textId="6D2D234D" w:rsidR="008F55AD" w:rsidRPr="00FA5EE2" w:rsidRDefault="009750E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  <w:r w:rsidRPr="00FA5EE2">
        <w:rPr>
          <w:rFonts w:ascii="Arial" w:eastAsia="Times New Roman" w:hAnsi="Arial" w:cs="Arial"/>
          <w:sz w:val="20"/>
          <w:szCs w:val="20"/>
          <w:lang w:eastAsia="pt-BR"/>
        </w:rPr>
        <w:t>Respeitosamente,</w:t>
      </w:r>
      <w:r w:rsidR="008F55AD" w:rsidRPr="00FA5EE2">
        <w:rPr>
          <w:rFonts w:ascii="Arial" w:hAnsi="Arial" w:cs="Arial"/>
          <w:b/>
          <w:sz w:val="20"/>
          <w:szCs w:val="20"/>
        </w:rPr>
        <w:t xml:space="preserve"> </w:t>
      </w:r>
    </w:p>
    <w:p w14:paraId="12E8C95C" w14:textId="77B03F86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3F81EFF1" w14:textId="76DEB88E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595B0EC7" w14:textId="1552D76A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261EBF4C" w14:textId="049D8C85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2B248FDA" w14:textId="77777777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07818D11" w14:textId="77777777" w:rsidR="008F55AD" w:rsidRPr="00FA5EE2" w:rsidRDefault="008F55AD" w:rsidP="008F55AD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6097F369" w14:textId="6C066E5B" w:rsidR="001C08C2" w:rsidRPr="00FA5EE2" w:rsidRDefault="008F55AD" w:rsidP="008F55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5EE2">
        <w:rPr>
          <w:rFonts w:ascii="Arial" w:hAnsi="Arial" w:cs="Arial"/>
          <w:b/>
          <w:i/>
          <w:sz w:val="20"/>
          <w:szCs w:val="20"/>
        </w:rPr>
        <w:t>Assinado eletronicamente por: Simone Tebet</w:t>
      </w:r>
      <w:bookmarkEnd w:id="0"/>
    </w:p>
    <w:sectPr w:rsidR="001C08C2" w:rsidRPr="00FA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ED"/>
    <w:rsid w:val="0014525C"/>
    <w:rsid w:val="001C055F"/>
    <w:rsid w:val="001C08C2"/>
    <w:rsid w:val="003502E1"/>
    <w:rsid w:val="008F55AD"/>
    <w:rsid w:val="009750ED"/>
    <w:rsid w:val="00BE1E7C"/>
    <w:rsid w:val="00C26ACE"/>
    <w:rsid w:val="00DC6174"/>
    <w:rsid w:val="00E37ECE"/>
    <w:rsid w:val="00FA5EE2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AF9E"/>
  <w15:chartTrackingRefBased/>
  <w15:docId w15:val="{9157F13D-C827-40CE-99C8-A123FE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75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750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50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8F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de Figueiredo Araujo</dc:creator>
  <cp:keywords/>
  <dc:description/>
  <cp:lastModifiedBy>Edvaldo Luiz da Silva</cp:lastModifiedBy>
  <cp:revision>2</cp:revision>
  <dcterms:created xsi:type="dcterms:W3CDTF">2024-08-14T20:01:00Z</dcterms:created>
  <dcterms:modified xsi:type="dcterms:W3CDTF">2024-08-14T20:01:00Z</dcterms:modified>
</cp:coreProperties>
</file>