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56" w:rsidRPr="003235B8" w:rsidRDefault="00193756">
      <w:pPr>
        <w:pStyle w:val="Textbody"/>
        <w:rPr>
          <w:rFonts w:ascii="Arial" w:hAnsi="Arial" w:cs="Arial"/>
          <w:sz w:val="20"/>
          <w:szCs w:val="20"/>
        </w:rPr>
      </w:pPr>
      <w:bookmarkStart w:id="0" w:name="_GoBack"/>
    </w:p>
    <w:p w:rsidR="00193756" w:rsidRPr="003235B8" w:rsidRDefault="00397495">
      <w:pPr>
        <w:pStyle w:val="Textbody"/>
        <w:spacing w:before="567" w:after="0"/>
        <w:ind w:left="680"/>
        <w:rPr>
          <w:rFonts w:ascii="Arial" w:hAnsi="Arial" w:cs="Arial"/>
          <w:sz w:val="20"/>
          <w:szCs w:val="20"/>
        </w:rPr>
      </w:pPr>
      <w:r w:rsidRPr="003235B8">
        <w:rPr>
          <w:rFonts w:ascii="Arial" w:hAnsi="Arial" w:cs="Arial"/>
          <w:sz w:val="20"/>
          <w:szCs w:val="20"/>
        </w:rPr>
        <w:t>EM n</w:t>
      </w:r>
      <w:r w:rsidRPr="003235B8">
        <w:rPr>
          <w:rFonts w:ascii="Arial" w:hAnsi="Arial" w:cs="Arial"/>
          <w:strike/>
          <w:sz w:val="20"/>
          <w:szCs w:val="20"/>
        </w:rPr>
        <w:t>º</w:t>
      </w:r>
      <w:r w:rsidRPr="003235B8">
        <w:rPr>
          <w:rFonts w:ascii="Arial" w:hAnsi="Arial" w:cs="Arial"/>
          <w:sz w:val="20"/>
          <w:szCs w:val="20"/>
        </w:rPr>
        <w:t xml:space="preserve"> 00051/2024 MPO</w:t>
      </w:r>
    </w:p>
    <w:p w:rsidR="00193756" w:rsidRPr="003235B8" w:rsidRDefault="00397495">
      <w:pPr>
        <w:pStyle w:val="Textbody"/>
        <w:rPr>
          <w:rFonts w:ascii="Arial" w:hAnsi="Arial" w:cs="Arial"/>
          <w:sz w:val="20"/>
          <w:szCs w:val="20"/>
        </w:rPr>
      </w:pPr>
      <w:r w:rsidRPr="003235B8">
        <w:rPr>
          <w:rFonts w:ascii="Arial" w:hAnsi="Arial" w:cs="Arial"/>
          <w:sz w:val="20"/>
          <w:szCs w:val="20"/>
        </w:rPr>
        <w:t> </w:t>
      </w:r>
    </w:p>
    <w:p w:rsidR="00193756" w:rsidRPr="003235B8" w:rsidRDefault="00397495">
      <w:pPr>
        <w:pStyle w:val="PreformattedText"/>
        <w:spacing w:after="1701"/>
        <w:jc w:val="right"/>
        <w:rPr>
          <w:rFonts w:ascii="Arial" w:hAnsi="Arial" w:cs="Arial"/>
        </w:rPr>
      </w:pPr>
      <w:r w:rsidRPr="003235B8">
        <w:rPr>
          <w:rFonts w:ascii="Arial" w:hAnsi="Arial" w:cs="Arial"/>
        </w:rPr>
        <w:t>Brasília, 11 de Julho de 2024</w:t>
      </w:r>
    </w:p>
    <w:p w:rsidR="00193756" w:rsidRPr="003235B8" w:rsidRDefault="00397495">
      <w:pPr>
        <w:pStyle w:val="Textbody"/>
        <w:spacing w:before="113" w:after="567"/>
        <w:ind w:firstLine="1134"/>
        <w:rPr>
          <w:rFonts w:ascii="Arial" w:hAnsi="Arial" w:cs="Arial"/>
          <w:sz w:val="20"/>
          <w:szCs w:val="20"/>
        </w:rPr>
      </w:pPr>
      <w:r w:rsidRPr="003235B8">
        <w:rPr>
          <w:rFonts w:ascii="Arial" w:hAnsi="Arial" w:cs="Arial"/>
          <w:sz w:val="20"/>
          <w:szCs w:val="20"/>
        </w:rPr>
        <w:t>Senhor Presidente da República,</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1.                Proponho a abertura de crédito especial aos Orçamentos Fiscal e da Seguridade Social da União (Lei nº 14.822, de 22 de janeiro de 2024), no valor de R$ 12.914.311,00 (doze milhões, novecentos e quatorze mil, trezentos e onze reais), em favor dos Ministérios da Educação, da Justiça e Segurança Pública, da Saúde, dos Transportes, das Cidades, e de Portos e Aeroportos, conforme Quadro anexo a esta Exposição de Motivos.</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2.                O crédito em pauta visa incluir novas categorias de programação no orçamento vigente dos mencionados órgãos, com o objetivo de:</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a) no Ministério da Educação:</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Universidade Federal de Alagoas, atender despesas com a anuidade dos organismos internacionais OEI – Organização Universitária Interamericana e AUGM – Associação de Universidades do Grupo Montevideo;</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b) no Ministério da Justiça e Segurança Pública:</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Fundo Penitenciário Nacional - Funpen, garantir a construção, em Brasília - DF, da Academia Nacional de Polícia Penal, um centro de treinamento e formação para servidores policiais penais, a cargo da Secretaria Nacional de Políticas Penais – SENAPPEN, órgão gestor do Funpen;</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c) no Ministério da Saúde:</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Agência Nacional de Saúde Suplementar – ANS, viabilizar a filiação da Autarquia à Associação Brasileira de Agências de Regulação - ABAR;</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d) no Ministério dos Transportes:</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Departamento Nacional de Infraestrutura de Transportes – DNIT, possibilitar a continuidade da construção de trecho Rodoviário - entroncamento TO-020 (Aparecida do Rio Negro) - Divisa TO/MA (Goiatins) - na BR-010/TO;</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lastRenderedPageBreak/>
        <w:t>                   e) no Ministério das Cidades:</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Administração Direta, apoiar a implementação de ações de desenvolvimento de saneamento e utilização de água; e</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Companhia Brasileira de Trens Urbanos – CBTU, garantir o pagamento da ajuda de custo para auxílio-moradia a agentes públicos; e</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f) no Ministério de Portos e Aeroportos:</w:t>
      </w:r>
    </w:p>
    <w:p w:rsidR="00193756" w:rsidRPr="003235B8" w:rsidRDefault="00397495">
      <w:pPr>
        <w:pStyle w:val="Textbody"/>
        <w:spacing w:after="200"/>
        <w:ind w:firstLine="1134"/>
        <w:jc w:val="both"/>
        <w:rPr>
          <w:rFonts w:ascii="Arial" w:hAnsi="Arial" w:cs="Arial"/>
          <w:sz w:val="20"/>
          <w:szCs w:val="20"/>
        </w:rPr>
      </w:pPr>
      <w:r w:rsidRPr="003235B8">
        <w:rPr>
          <w:rFonts w:ascii="Arial" w:hAnsi="Arial" w:cs="Arial"/>
          <w:sz w:val="20"/>
          <w:szCs w:val="20"/>
        </w:rPr>
        <w:t>- Fundo Nacional de Aviação Civil – FNAC, atender as despesas com a construção do Aeroporto de Palmeirais - PI, além das reformas e reaparelhamentos dos Aeroportos de Chapadinha - MA, Bacabal - MA, Santa Inês - MA e Arcoverde - PE.</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4.                No que se refere à obtenção da meta de resultado primário fixada para o corrente exercício, bem como aos limites individualizados para as despesas primárias, conforme o art. 3º da Lei Complementar nº 200, de 30 de agosto de 2023, vale informar, nos termos do art. 54, § 4º, da Lei nº 14.791, de 29 de dezembro de 2023, Lei de Diretrizes Orçamentárias para 2024, LDO-2024, que o crédito em questão está de acordo com o teor dos citados dispositivos.</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5.                Cabe mencionar, em relação ao disposto no art. 167, caput, inciso III, da Constituição Federal, "Regra de Ouro", que a alteração proposta afeta positivamente o seu cumprimento.</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6.                Em atendimento ao art. 54, § 18, da LDO-2024, vale destacar que segue, anexo, o demonstrativo de valores cancelados que ultrapassam vinte por cento do valor inicialmente estabelecido na Lei Orçamentária de 2024 para as referidas categorias.</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7.                Acrescenta-se que os ajustes do Plano Plurianual para o período de 2024 a 2027, de que trata a Lei nº 14.802, de 10 de janeiro de 2024, porventura necessários em decorrência das alterações promovidas neste ato, deverão ser realizados de acordo com o art. 19, inciso I, da referida Lei.</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8.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pois os remanejamentos foram decididos com base em projeções de suas possibilidades de dispêndio até o final do exercício atual.</w:t>
      </w:r>
    </w:p>
    <w:p w:rsidR="00193756" w:rsidRPr="003235B8" w:rsidRDefault="00397495">
      <w:pPr>
        <w:pStyle w:val="Textbody"/>
        <w:spacing w:after="200"/>
        <w:jc w:val="both"/>
        <w:rPr>
          <w:rFonts w:ascii="Arial" w:hAnsi="Arial" w:cs="Arial"/>
          <w:sz w:val="20"/>
          <w:szCs w:val="20"/>
        </w:rPr>
      </w:pPr>
      <w:r w:rsidRPr="003235B8">
        <w:rPr>
          <w:rFonts w:ascii="Arial" w:hAnsi="Arial" w:cs="Arial"/>
          <w:sz w:val="20"/>
          <w:szCs w:val="20"/>
        </w:rPr>
        <w:t>9.                Diante do exposto, submeto à sua consideração o anexo Projeto de Lei, que visa efetivar a abertura de crédito especial.</w:t>
      </w:r>
    </w:p>
    <w:p w:rsidR="00193756" w:rsidRPr="003235B8" w:rsidRDefault="00193756">
      <w:pPr>
        <w:pStyle w:val="Textbody"/>
        <w:spacing w:after="200"/>
        <w:ind w:firstLine="1134"/>
        <w:jc w:val="both"/>
        <w:rPr>
          <w:rFonts w:ascii="Arial" w:hAnsi="Arial" w:cs="Arial"/>
          <w:sz w:val="20"/>
          <w:szCs w:val="20"/>
        </w:rPr>
      </w:pPr>
    </w:p>
    <w:p w:rsidR="00193756" w:rsidRPr="003235B8" w:rsidRDefault="00397495">
      <w:pPr>
        <w:pStyle w:val="Textbody"/>
        <w:spacing w:after="1417"/>
        <w:ind w:firstLine="1134"/>
        <w:rPr>
          <w:rFonts w:ascii="Arial" w:hAnsi="Arial" w:cs="Arial"/>
          <w:sz w:val="20"/>
          <w:szCs w:val="20"/>
        </w:rPr>
      </w:pPr>
      <w:r w:rsidRPr="003235B8">
        <w:rPr>
          <w:rFonts w:ascii="Arial" w:hAnsi="Arial" w:cs="Arial"/>
          <w:sz w:val="20"/>
          <w:szCs w:val="20"/>
        </w:rPr>
        <w:t>Respeitosamente,</w:t>
      </w:r>
    </w:p>
    <w:p w:rsidR="00193756" w:rsidRPr="003235B8" w:rsidRDefault="00193756">
      <w:pPr>
        <w:pStyle w:val="Textbody"/>
        <w:spacing w:after="0"/>
        <w:jc w:val="center"/>
        <w:rPr>
          <w:rFonts w:ascii="Arial" w:hAnsi="Arial" w:cs="Arial"/>
          <w:sz w:val="20"/>
          <w:szCs w:val="20"/>
        </w:rPr>
      </w:pPr>
    </w:p>
    <w:p w:rsidR="00193756" w:rsidRPr="003235B8" w:rsidRDefault="00397495">
      <w:pPr>
        <w:pStyle w:val="Textbody"/>
        <w:rPr>
          <w:rFonts w:ascii="Arial" w:hAnsi="Arial" w:cs="Arial"/>
          <w:sz w:val="20"/>
          <w:szCs w:val="20"/>
        </w:rPr>
      </w:pPr>
      <w:r w:rsidRPr="003235B8">
        <w:rPr>
          <w:rFonts w:ascii="Arial" w:hAnsi="Arial" w:cs="Arial"/>
          <w:sz w:val="20"/>
          <w:szCs w:val="20"/>
        </w:rPr>
        <w:t> </w:t>
      </w:r>
    </w:p>
    <w:p w:rsidR="00193756" w:rsidRPr="003235B8" w:rsidRDefault="00397495">
      <w:pPr>
        <w:pStyle w:val="Textbody"/>
        <w:rPr>
          <w:rFonts w:ascii="Arial" w:hAnsi="Arial" w:cs="Arial"/>
          <w:sz w:val="20"/>
          <w:szCs w:val="20"/>
        </w:rPr>
      </w:pPr>
      <w:r w:rsidRPr="003235B8">
        <w:rPr>
          <w:rFonts w:ascii="Arial" w:hAnsi="Arial" w:cs="Arial"/>
          <w:sz w:val="20"/>
          <w:szCs w:val="20"/>
        </w:rPr>
        <w:t> </w:t>
      </w:r>
    </w:p>
    <w:p w:rsidR="00193756" w:rsidRPr="003235B8" w:rsidRDefault="00193756">
      <w:pPr>
        <w:pStyle w:val="Standard"/>
        <w:ind w:left="567" w:right="284"/>
        <w:rPr>
          <w:rFonts w:ascii="Arial" w:hAnsi="Arial" w:cs="Arial"/>
          <w:b/>
          <w:sz w:val="20"/>
          <w:szCs w:val="20"/>
        </w:rPr>
      </w:pPr>
    </w:p>
    <w:p w:rsidR="00193756" w:rsidRPr="003235B8" w:rsidRDefault="00193756">
      <w:pPr>
        <w:pStyle w:val="Standard"/>
        <w:ind w:left="567" w:right="284"/>
        <w:rPr>
          <w:rFonts w:ascii="Arial" w:hAnsi="Arial" w:cs="Arial"/>
          <w:b/>
          <w:sz w:val="20"/>
          <w:szCs w:val="20"/>
        </w:rPr>
      </w:pPr>
    </w:p>
    <w:p w:rsidR="00193756" w:rsidRPr="003235B8" w:rsidRDefault="00193756">
      <w:pPr>
        <w:pStyle w:val="Standard"/>
        <w:ind w:left="567" w:right="284"/>
        <w:rPr>
          <w:rFonts w:ascii="Arial" w:hAnsi="Arial" w:cs="Arial"/>
          <w:b/>
          <w:sz w:val="20"/>
          <w:szCs w:val="20"/>
        </w:rPr>
      </w:pPr>
    </w:p>
    <w:p w:rsidR="00193756" w:rsidRPr="003235B8" w:rsidRDefault="00193756">
      <w:pPr>
        <w:pStyle w:val="Standard"/>
        <w:ind w:left="567" w:right="284"/>
        <w:rPr>
          <w:rFonts w:ascii="Arial" w:hAnsi="Arial" w:cs="Arial"/>
          <w:b/>
          <w:sz w:val="20"/>
          <w:szCs w:val="20"/>
        </w:rPr>
      </w:pPr>
    </w:p>
    <w:p w:rsidR="00193756" w:rsidRPr="003235B8" w:rsidRDefault="00193756">
      <w:pPr>
        <w:pStyle w:val="Standard"/>
        <w:ind w:left="567" w:right="284"/>
        <w:rPr>
          <w:rFonts w:ascii="Arial" w:hAnsi="Arial" w:cs="Arial"/>
          <w:b/>
          <w:sz w:val="20"/>
          <w:szCs w:val="20"/>
        </w:rPr>
      </w:pPr>
    </w:p>
    <w:p w:rsidR="00193756" w:rsidRPr="003235B8" w:rsidRDefault="00397495">
      <w:pPr>
        <w:pStyle w:val="Standard"/>
        <w:ind w:left="567" w:right="284"/>
        <w:rPr>
          <w:rFonts w:ascii="Arial" w:hAnsi="Arial" w:cs="Arial"/>
          <w:b/>
          <w:i/>
          <w:sz w:val="20"/>
          <w:szCs w:val="20"/>
        </w:rPr>
      </w:pPr>
      <w:r w:rsidRPr="003235B8">
        <w:rPr>
          <w:rFonts w:ascii="Arial" w:hAnsi="Arial" w:cs="Arial"/>
          <w:b/>
          <w:i/>
          <w:sz w:val="20"/>
          <w:szCs w:val="20"/>
        </w:rPr>
        <w:t>Assinado eletronicamente por: Simone Nassar Tebet</w:t>
      </w:r>
    </w:p>
    <w:p w:rsidR="00B64A7E" w:rsidRPr="003235B8" w:rsidRDefault="00B64A7E">
      <w:pPr>
        <w:pStyle w:val="Standard"/>
        <w:rPr>
          <w:rFonts w:ascii="Arial" w:hAnsi="Arial" w:cs="Arial"/>
          <w:sz w:val="20"/>
          <w:szCs w:val="20"/>
        </w:rPr>
        <w:sectPr w:rsidR="00B64A7E" w:rsidRPr="003235B8">
          <w:pgSz w:w="11906" w:h="16838"/>
          <w:pgMar w:top="1134" w:right="1134" w:bottom="1134" w:left="1134" w:header="720" w:footer="720" w:gutter="0"/>
          <w:cols w:space="720"/>
        </w:sectPr>
      </w:pPr>
    </w:p>
    <w:p w:rsidR="00B64A7E" w:rsidRPr="003235B8" w:rsidRDefault="00B64A7E" w:rsidP="320CF07D">
      <w:pPr>
        <w:ind w:right="-1"/>
        <w:jc w:val="center"/>
        <w:rPr>
          <w:rFonts w:ascii="Arial" w:hAnsi="Arial" w:cs="Arial"/>
          <w:sz w:val="20"/>
          <w:szCs w:val="20"/>
        </w:rPr>
      </w:pPr>
      <w:r w:rsidRPr="003235B8">
        <w:rPr>
          <w:rFonts w:ascii="Arial" w:hAnsi="Arial" w:cs="Arial"/>
          <w:spacing w:val="-3"/>
          <w:sz w:val="20"/>
          <w:szCs w:val="20"/>
        </w:rPr>
        <w:lastRenderedPageBreak/>
        <w:t>QUADRO ANEXO À EXPOSIÇÃO DE MOTIVOS DO MINISTÉRIO DO PLANEJAMENTO E ORÇAMENTO N</w:t>
      </w:r>
      <w:r w:rsidRPr="003235B8">
        <w:rPr>
          <w:rFonts w:ascii="Arial" w:hAnsi="Arial" w:cs="Arial"/>
          <w:sz w:val="20"/>
          <w:szCs w:val="20"/>
          <w:u w:val="single"/>
          <w:vertAlign w:val="superscript"/>
        </w:rPr>
        <w:t>o</w:t>
      </w:r>
      <w:r w:rsidRPr="003235B8">
        <w:rPr>
          <w:rFonts w:ascii="Arial" w:hAnsi="Arial" w:cs="Arial"/>
          <w:spacing w:val="-3"/>
          <w:sz w:val="20"/>
          <w:szCs w:val="20"/>
        </w:rPr>
        <w:t xml:space="preserve"> 51, DE 11/07/202</w:t>
      </w:r>
      <w:r w:rsidRPr="003235B8">
        <w:rPr>
          <w:rFonts w:ascii="Arial" w:hAnsi="Arial" w:cs="Arial"/>
          <w:sz w:val="20"/>
          <w:szCs w:val="20"/>
        </w:rPr>
        <w:t>4</w:t>
      </w:r>
    </w:p>
    <w:p w:rsidR="00B64A7E" w:rsidRPr="003235B8" w:rsidRDefault="00B64A7E" w:rsidP="00C4776D">
      <w:pPr>
        <w:jc w:val="right"/>
        <w:rPr>
          <w:rFonts w:ascii="Arial" w:hAnsi="Arial" w:cs="Arial"/>
          <w:sz w:val="20"/>
          <w:szCs w:val="20"/>
        </w:rPr>
      </w:pPr>
    </w:p>
    <w:p w:rsidR="00B64A7E" w:rsidRPr="003235B8" w:rsidRDefault="00B64A7E" w:rsidP="00C4776D">
      <w:pPr>
        <w:jc w:val="right"/>
        <w:rPr>
          <w:rFonts w:ascii="Arial" w:hAnsi="Arial" w:cs="Arial"/>
          <w:sz w:val="20"/>
          <w:szCs w:val="20"/>
        </w:rPr>
      </w:pPr>
    </w:p>
    <w:p w:rsidR="00B64A7E" w:rsidRPr="003235B8" w:rsidRDefault="00B64A7E" w:rsidP="00C4776D">
      <w:pPr>
        <w:jc w:val="right"/>
        <w:rPr>
          <w:rFonts w:ascii="Arial" w:hAnsi="Arial" w:cs="Arial"/>
          <w:sz w:val="20"/>
          <w:szCs w:val="20"/>
        </w:rPr>
      </w:pPr>
      <w:r w:rsidRPr="003235B8">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096"/>
        <w:gridCol w:w="1718"/>
        <w:gridCol w:w="1731"/>
      </w:tblGrid>
      <w:tr w:rsidR="00B64A7E" w:rsidRPr="003235B8" w:rsidTr="00CC1739">
        <w:trPr>
          <w:trHeight w:val="630"/>
        </w:trPr>
        <w:tc>
          <w:tcPr>
            <w:tcW w:w="6096" w:type="dxa"/>
            <w:tcBorders>
              <w:top w:val="single" w:sz="4" w:space="0" w:color="auto"/>
              <w:left w:val="nil"/>
              <w:bottom w:val="single" w:sz="4" w:space="0" w:color="auto"/>
              <w:right w:val="single" w:sz="4" w:space="0" w:color="auto"/>
            </w:tcBorders>
            <w:shd w:val="clear" w:color="auto" w:fill="FFFFFF"/>
            <w:vAlign w:val="center"/>
            <w:hideMark/>
          </w:tcPr>
          <w:p w:rsidR="00B64A7E" w:rsidRPr="003235B8" w:rsidRDefault="00B64A7E" w:rsidP="00DD652F">
            <w:pPr>
              <w:jc w:val="center"/>
              <w:rPr>
                <w:rFonts w:ascii="Arial" w:hAnsi="Arial" w:cs="Arial"/>
                <w:b/>
                <w:bCs/>
                <w:color w:val="000000"/>
                <w:sz w:val="20"/>
                <w:szCs w:val="20"/>
              </w:rPr>
            </w:pPr>
            <w:r w:rsidRPr="003235B8">
              <w:rPr>
                <w:rFonts w:ascii="Arial" w:hAnsi="Arial" w:cs="Arial"/>
                <w:b/>
                <w:bCs/>
                <w:color w:val="000000"/>
                <w:sz w:val="20"/>
                <w:szCs w:val="20"/>
              </w:rPr>
              <w:t>Discriminação</w:t>
            </w:r>
          </w:p>
        </w:tc>
        <w:tc>
          <w:tcPr>
            <w:tcW w:w="1718" w:type="dxa"/>
            <w:tcBorders>
              <w:top w:val="single" w:sz="4" w:space="0" w:color="auto"/>
              <w:left w:val="nil"/>
              <w:bottom w:val="single" w:sz="4" w:space="0" w:color="auto"/>
              <w:right w:val="single" w:sz="4" w:space="0" w:color="auto"/>
            </w:tcBorders>
            <w:shd w:val="clear" w:color="auto" w:fill="FFFFFF"/>
            <w:vAlign w:val="center"/>
            <w:hideMark/>
          </w:tcPr>
          <w:p w:rsidR="00B64A7E" w:rsidRPr="003235B8" w:rsidRDefault="00B64A7E" w:rsidP="00F0559B">
            <w:pPr>
              <w:jc w:val="center"/>
              <w:rPr>
                <w:rFonts w:ascii="Arial" w:hAnsi="Arial" w:cs="Arial"/>
                <w:b/>
                <w:bCs/>
                <w:color w:val="000000"/>
                <w:sz w:val="20"/>
                <w:szCs w:val="20"/>
              </w:rPr>
            </w:pPr>
            <w:r w:rsidRPr="003235B8">
              <w:rPr>
                <w:rFonts w:ascii="Arial" w:hAnsi="Arial" w:cs="Arial"/>
                <w:b/>
                <w:bCs/>
                <w:color w:val="000000"/>
                <w:sz w:val="20"/>
                <w:szCs w:val="20"/>
              </w:rPr>
              <w:t>Aplicação</w:t>
            </w:r>
          </w:p>
        </w:tc>
        <w:tc>
          <w:tcPr>
            <w:tcW w:w="1731" w:type="dxa"/>
            <w:tcBorders>
              <w:top w:val="single" w:sz="4" w:space="0" w:color="auto"/>
              <w:left w:val="nil"/>
              <w:bottom w:val="single" w:sz="4" w:space="0" w:color="auto"/>
              <w:right w:val="nil"/>
            </w:tcBorders>
            <w:shd w:val="clear" w:color="auto" w:fill="FFFFFF"/>
            <w:vAlign w:val="center"/>
            <w:hideMark/>
          </w:tcPr>
          <w:p w:rsidR="00B64A7E" w:rsidRPr="003235B8" w:rsidRDefault="00B64A7E" w:rsidP="00DD652F">
            <w:pPr>
              <w:jc w:val="center"/>
              <w:rPr>
                <w:rFonts w:ascii="Arial" w:hAnsi="Arial" w:cs="Arial"/>
                <w:b/>
                <w:bCs/>
                <w:color w:val="000000"/>
                <w:sz w:val="20"/>
                <w:szCs w:val="20"/>
              </w:rPr>
            </w:pPr>
            <w:r w:rsidRPr="003235B8">
              <w:rPr>
                <w:rFonts w:ascii="Arial" w:hAnsi="Arial" w:cs="Arial"/>
                <w:b/>
                <w:bCs/>
                <w:color w:val="000000"/>
                <w:sz w:val="20"/>
                <w:szCs w:val="20"/>
              </w:rPr>
              <w:t>Origem dos Recursos</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421A5D">
            <w:pPr>
              <w:rPr>
                <w:rFonts w:ascii="Arial" w:hAnsi="Arial" w:cs="Arial"/>
                <w:b/>
                <w:bCs/>
                <w:color w:val="000000"/>
                <w:sz w:val="20"/>
                <w:szCs w:val="20"/>
              </w:rPr>
            </w:pPr>
            <w:r w:rsidRPr="003235B8">
              <w:rPr>
                <w:rFonts w:ascii="Arial" w:hAnsi="Arial" w:cs="Arial"/>
                <w:b/>
                <w:sz w:val="20"/>
                <w:szCs w:val="20"/>
              </w:rPr>
              <w:t>Ministério da Educação</w:t>
            </w:r>
          </w:p>
        </w:tc>
        <w:tc>
          <w:tcPr>
            <w:tcW w:w="1718" w:type="dxa"/>
            <w:tcBorders>
              <w:left w:val="nil"/>
              <w:right w:val="single" w:sz="4" w:space="0" w:color="auto"/>
            </w:tcBorders>
            <w:shd w:val="clear" w:color="auto" w:fill="FFFFFF"/>
          </w:tcPr>
          <w:p w:rsidR="00B64A7E" w:rsidRPr="003235B8" w:rsidRDefault="00B64A7E" w:rsidP="320CF07D">
            <w:pPr>
              <w:jc w:val="right"/>
              <w:rPr>
                <w:rFonts w:ascii="Arial" w:hAnsi="Arial" w:cs="Arial"/>
                <w:b/>
                <w:color w:val="000000"/>
                <w:sz w:val="20"/>
                <w:szCs w:val="20"/>
              </w:rPr>
            </w:pPr>
            <w:r w:rsidRPr="003235B8">
              <w:rPr>
                <w:rFonts w:ascii="Arial" w:hAnsi="Arial" w:cs="Arial"/>
                <w:b/>
                <w:sz w:val="20"/>
                <w:szCs w:val="20"/>
              </w:rPr>
              <w:t>44.000</w:t>
            </w:r>
          </w:p>
        </w:tc>
        <w:tc>
          <w:tcPr>
            <w:tcW w:w="1731" w:type="dxa"/>
            <w:tcBorders>
              <w:left w:val="nil"/>
              <w:right w:val="nil"/>
            </w:tcBorders>
            <w:shd w:val="clear" w:color="auto" w:fill="FFFFFF"/>
          </w:tcPr>
          <w:p w:rsidR="00B64A7E" w:rsidRPr="003235B8" w:rsidRDefault="00B64A7E" w:rsidP="320CF07D">
            <w:pPr>
              <w:jc w:val="right"/>
              <w:rPr>
                <w:rFonts w:ascii="Arial" w:hAnsi="Arial" w:cs="Arial"/>
                <w:b/>
                <w:color w:val="000000"/>
                <w:sz w:val="20"/>
                <w:szCs w:val="20"/>
              </w:rPr>
            </w:pPr>
            <w:r w:rsidRPr="003235B8">
              <w:rPr>
                <w:rFonts w:ascii="Arial" w:hAnsi="Arial" w:cs="Arial"/>
                <w:b/>
                <w:sz w:val="20"/>
                <w:szCs w:val="20"/>
              </w:rPr>
              <w:t>44.000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320CF07D">
            <w:pPr>
              <w:rPr>
                <w:rFonts w:ascii="Arial" w:hAnsi="Arial" w:cs="Arial"/>
                <w:sz w:val="20"/>
                <w:szCs w:val="20"/>
                <w:lang w:eastAsia="en-US"/>
              </w:rPr>
            </w:pPr>
            <w:r w:rsidRPr="003235B8">
              <w:rPr>
                <w:rFonts w:ascii="Arial" w:hAnsi="Arial" w:cs="Arial"/>
                <w:sz w:val="20"/>
                <w:szCs w:val="20"/>
              </w:rPr>
              <w:t>Universidade Federal de Alagoas</w:t>
            </w:r>
          </w:p>
        </w:tc>
        <w:tc>
          <w:tcPr>
            <w:tcW w:w="1718" w:type="dxa"/>
            <w:tcBorders>
              <w:left w:val="nil"/>
              <w:right w:val="single" w:sz="4" w:space="0" w:color="auto"/>
            </w:tcBorders>
            <w:shd w:val="clear" w:color="auto" w:fill="FFFFFF"/>
          </w:tcPr>
          <w:p w:rsidR="00B64A7E" w:rsidRPr="003235B8" w:rsidRDefault="00B64A7E" w:rsidP="003B2A61">
            <w:pPr>
              <w:jc w:val="right"/>
              <w:rPr>
                <w:rFonts w:ascii="Arial" w:hAnsi="Arial" w:cs="Arial"/>
                <w:sz w:val="20"/>
                <w:szCs w:val="20"/>
              </w:rPr>
            </w:pPr>
            <w:r w:rsidRPr="003235B8">
              <w:rPr>
                <w:rFonts w:ascii="Arial" w:hAnsi="Arial" w:cs="Arial"/>
                <w:sz w:val="20"/>
                <w:szCs w:val="20"/>
              </w:rPr>
              <w:t>44.000</w:t>
            </w:r>
          </w:p>
        </w:tc>
        <w:tc>
          <w:tcPr>
            <w:tcW w:w="1731" w:type="dxa"/>
            <w:tcBorders>
              <w:left w:val="nil"/>
              <w:right w:val="nil"/>
            </w:tcBorders>
            <w:shd w:val="clear" w:color="auto" w:fill="FFFFFF"/>
          </w:tcPr>
          <w:p w:rsidR="00B64A7E" w:rsidRPr="003235B8" w:rsidRDefault="00B64A7E" w:rsidP="003B2A61">
            <w:pPr>
              <w:jc w:val="right"/>
              <w:rPr>
                <w:rFonts w:ascii="Arial" w:hAnsi="Arial" w:cs="Arial"/>
                <w:sz w:val="20"/>
                <w:szCs w:val="20"/>
              </w:rPr>
            </w:pPr>
            <w:r w:rsidRPr="003235B8">
              <w:rPr>
                <w:rFonts w:ascii="Arial" w:hAnsi="Arial" w:cs="Arial"/>
                <w:sz w:val="20"/>
                <w:szCs w:val="20"/>
              </w:rPr>
              <w:t>44.000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320CF07D">
            <w:pPr>
              <w:rPr>
                <w:rFonts w:ascii="Arial" w:hAnsi="Arial" w:cs="Arial"/>
                <w:sz w:val="20"/>
                <w:szCs w:val="20"/>
                <w:lang w:eastAsia="en-US"/>
              </w:rPr>
            </w:pPr>
          </w:p>
        </w:tc>
        <w:tc>
          <w:tcPr>
            <w:tcW w:w="1718" w:type="dxa"/>
            <w:tcBorders>
              <w:left w:val="nil"/>
              <w:right w:val="single" w:sz="4" w:space="0" w:color="auto"/>
            </w:tcBorders>
            <w:shd w:val="clear" w:color="auto" w:fill="FFFFFF"/>
          </w:tcPr>
          <w:p w:rsidR="00B64A7E" w:rsidRPr="003235B8" w:rsidRDefault="00B64A7E" w:rsidP="003B2A61">
            <w:pPr>
              <w:jc w:val="right"/>
              <w:rPr>
                <w:rFonts w:ascii="Arial" w:hAnsi="Arial" w:cs="Arial"/>
                <w:sz w:val="20"/>
                <w:szCs w:val="20"/>
              </w:rPr>
            </w:pPr>
          </w:p>
        </w:tc>
        <w:tc>
          <w:tcPr>
            <w:tcW w:w="1731" w:type="dxa"/>
            <w:tcBorders>
              <w:left w:val="nil"/>
              <w:right w:val="nil"/>
            </w:tcBorders>
            <w:shd w:val="clear" w:color="auto" w:fill="FFFFFF"/>
          </w:tcPr>
          <w:p w:rsidR="00B64A7E" w:rsidRPr="003235B8" w:rsidRDefault="00B64A7E" w:rsidP="003B2A61">
            <w:pPr>
              <w:jc w:val="right"/>
              <w:rPr>
                <w:rFonts w:ascii="Arial" w:hAnsi="Arial" w:cs="Arial"/>
                <w:sz w:val="20"/>
                <w:szCs w:val="20"/>
              </w:rPr>
            </w:pP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
                <w:sz w:val="20"/>
                <w:szCs w:val="20"/>
                <w:lang w:eastAsia="en-US"/>
              </w:rPr>
            </w:pPr>
            <w:r w:rsidRPr="003235B8">
              <w:rPr>
                <w:rFonts w:ascii="Arial" w:hAnsi="Arial" w:cs="Arial"/>
                <w:b/>
                <w:sz w:val="20"/>
                <w:szCs w:val="20"/>
              </w:rPr>
              <w:t>Ministério da Justiça e Segurança Pública</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1.765.356</w:t>
            </w:r>
          </w:p>
        </w:tc>
        <w:tc>
          <w:tcPr>
            <w:tcW w:w="1731" w:type="dxa"/>
            <w:tcBorders>
              <w:left w:val="nil"/>
              <w:right w:val="nil"/>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1.765.356</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Fundo Penitenciário Nacional</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1.765.356</w:t>
            </w: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1.765.356</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
                <w:sz w:val="20"/>
                <w:szCs w:val="20"/>
                <w:lang w:eastAsia="en-US"/>
              </w:rPr>
            </w:pPr>
            <w:r w:rsidRPr="003235B8">
              <w:rPr>
                <w:rFonts w:ascii="Arial" w:hAnsi="Arial" w:cs="Arial"/>
                <w:b/>
                <w:sz w:val="20"/>
                <w:szCs w:val="20"/>
              </w:rPr>
              <w:t>Ministério da Saúde</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30.000</w:t>
            </w:r>
          </w:p>
        </w:tc>
        <w:tc>
          <w:tcPr>
            <w:tcW w:w="1731" w:type="dxa"/>
            <w:tcBorders>
              <w:left w:val="nil"/>
              <w:right w:val="nil"/>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30.000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Agência Nacional de Saúde Suplementar - ANS</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30.000</w:t>
            </w: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30.000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
                <w:sz w:val="20"/>
                <w:szCs w:val="20"/>
                <w:lang w:eastAsia="en-US"/>
              </w:rPr>
            </w:pPr>
            <w:r w:rsidRPr="003235B8">
              <w:rPr>
                <w:rFonts w:ascii="Arial" w:hAnsi="Arial" w:cs="Arial"/>
                <w:b/>
                <w:sz w:val="20"/>
                <w:szCs w:val="20"/>
              </w:rPr>
              <w:t>Ministério dos Transportes</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4.618.293</w:t>
            </w:r>
          </w:p>
        </w:tc>
        <w:tc>
          <w:tcPr>
            <w:tcW w:w="1731" w:type="dxa"/>
            <w:tcBorders>
              <w:left w:val="nil"/>
              <w:right w:val="nil"/>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4.618.293</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Departamento Nacional de Infraestrutura de Transportes - DNIT</w:t>
            </w:r>
          </w:p>
        </w:tc>
        <w:tc>
          <w:tcPr>
            <w:tcW w:w="1718" w:type="dxa"/>
            <w:tcBorders>
              <w:left w:val="nil"/>
              <w:right w:val="single" w:sz="4" w:space="0" w:color="auto"/>
            </w:tcBorders>
            <w:shd w:val="clear" w:color="auto" w:fill="FFFFFF"/>
          </w:tcPr>
          <w:p w:rsidR="00B64A7E" w:rsidRPr="003235B8" w:rsidRDefault="00B64A7E" w:rsidP="79CC8405">
            <w:pPr>
              <w:jc w:val="right"/>
              <w:rPr>
                <w:rFonts w:ascii="Arial" w:hAnsi="Arial" w:cs="Arial"/>
                <w:sz w:val="20"/>
                <w:szCs w:val="20"/>
              </w:rPr>
            </w:pPr>
          </w:p>
          <w:p w:rsidR="00B64A7E" w:rsidRPr="003235B8" w:rsidRDefault="00B64A7E" w:rsidP="005979AD">
            <w:pPr>
              <w:jc w:val="right"/>
              <w:rPr>
                <w:rFonts w:ascii="Arial" w:hAnsi="Arial" w:cs="Arial"/>
                <w:sz w:val="20"/>
                <w:szCs w:val="20"/>
              </w:rPr>
            </w:pPr>
            <w:r w:rsidRPr="003235B8">
              <w:rPr>
                <w:rFonts w:ascii="Arial" w:hAnsi="Arial" w:cs="Arial"/>
                <w:sz w:val="20"/>
                <w:szCs w:val="20"/>
              </w:rPr>
              <w:t>4.618.293</w:t>
            </w:r>
          </w:p>
        </w:tc>
        <w:tc>
          <w:tcPr>
            <w:tcW w:w="1731" w:type="dxa"/>
            <w:tcBorders>
              <w:left w:val="nil"/>
              <w:right w:val="nil"/>
            </w:tcBorders>
            <w:shd w:val="clear" w:color="auto" w:fill="FFFFFF"/>
          </w:tcPr>
          <w:p w:rsidR="00B64A7E" w:rsidRPr="003235B8" w:rsidRDefault="00B64A7E" w:rsidP="79CC8405">
            <w:pPr>
              <w:jc w:val="right"/>
              <w:rPr>
                <w:rFonts w:ascii="Arial" w:hAnsi="Arial" w:cs="Arial"/>
                <w:sz w:val="20"/>
                <w:szCs w:val="20"/>
              </w:rPr>
            </w:pPr>
          </w:p>
          <w:p w:rsidR="00B64A7E" w:rsidRPr="003235B8" w:rsidRDefault="00B64A7E" w:rsidP="005979AD">
            <w:pPr>
              <w:jc w:val="right"/>
              <w:rPr>
                <w:rFonts w:ascii="Arial" w:hAnsi="Arial" w:cs="Arial"/>
                <w:sz w:val="20"/>
                <w:szCs w:val="20"/>
              </w:rPr>
            </w:pPr>
            <w:r w:rsidRPr="003235B8">
              <w:rPr>
                <w:rFonts w:ascii="Arial" w:hAnsi="Arial" w:cs="Arial"/>
                <w:sz w:val="20"/>
                <w:szCs w:val="20"/>
              </w:rPr>
              <w:t>4.618.293</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
                <w:sz w:val="20"/>
                <w:szCs w:val="20"/>
                <w:lang w:eastAsia="en-US"/>
              </w:rPr>
            </w:pPr>
            <w:r w:rsidRPr="003235B8">
              <w:rPr>
                <w:rFonts w:ascii="Arial" w:hAnsi="Arial" w:cs="Arial"/>
                <w:b/>
                <w:sz w:val="20"/>
                <w:szCs w:val="20"/>
              </w:rPr>
              <w:t>Ministério das Cidades</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456.662</w:t>
            </w:r>
          </w:p>
        </w:tc>
        <w:tc>
          <w:tcPr>
            <w:tcW w:w="1731" w:type="dxa"/>
            <w:tcBorders>
              <w:left w:val="nil"/>
              <w:right w:val="nil"/>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456.662</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Administração Direta</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400.000</w:t>
            </w: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400.000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Companhia Brasileira de Trens Urbanos - CBTU</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56.662</w:t>
            </w: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56.662</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
                <w:sz w:val="20"/>
                <w:szCs w:val="20"/>
                <w:lang w:eastAsia="en-US"/>
              </w:rPr>
            </w:pPr>
            <w:r w:rsidRPr="003235B8">
              <w:rPr>
                <w:rFonts w:ascii="Arial" w:hAnsi="Arial" w:cs="Arial"/>
                <w:b/>
                <w:sz w:val="20"/>
                <w:szCs w:val="20"/>
              </w:rPr>
              <w:t>Ministério de Portos e Aeroportos</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6.000.000</w:t>
            </w:r>
          </w:p>
        </w:tc>
        <w:tc>
          <w:tcPr>
            <w:tcW w:w="1731" w:type="dxa"/>
            <w:tcBorders>
              <w:left w:val="nil"/>
              <w:right w:val="nil"/>
            </w:tcBorders>
            <w:shd w:val="clear" w:color="auto" w:fill="FFFFFF"/>
          </w:tcPr>
          <w:p w:rsidR="00B64A7E" w:rsidRPr="003235B8" w:rsidRDefault="00B64A7E" w:rsidP="005979AD">
            <w:pPr>
              <w:jc w:val="right"/>
              <w:rPr>
                <w:rFonts w:ascii="Arial" w:hAnsi="Arial" w:cs="Arial"/>
                <w:b/>
                <w:sz w:val="20"/>
                <w:szCs w:val="20"/>
              </w:rPr>
            </w:pPr>
            <w:r w:rsidRPr="003235B8">
              <w:rPr>
                <w:rFonts w:ascii="Arial" w:hAnsi="Arial" w:cs="Arial"/>
                <w:b/>
                <w:sz w:val="20"/>
                <w:szCs w:val="20"/>
              </w:rPr>
              <w:t>6.000.000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sz w:val="20"/>
                <w:szCs w:val="20"/>
                <w:lang w:eastAsia="en-US"/>
              </w:rPr>
            </w:pPr>
            <w:r w:rsidRPr="003235B8">
              <w:rPr>
                <w:rFonts w:ascii="Arial" w:hAnsi="Arial" w:cs="Arial"/>
                <w:sz w:val="20"/>
                <w:szCs w:val="20"/>
              </w:rPr>
              <w:t>Fundo Nacional de Aviação Civil - FNAC</w:t>
            </w: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6.000.000</w:t>
            </w:r>
          </w:p>
        </w:tc>
        <w:tc>
          <w:tcPr>
            <w:tcW w:w="1731" w:type="dxa"/>
            <w:tcBorders>
              <w:left w:val="nil"/>
              <w:right w:val="nil"/>
            </w:tcBorders>
            <w:shd w:val="clear" w:color="auto" w:fill="FFFFFF"/>
          </w:tcPr>
          <w:p w:rsidR="00B64A7E" w:rsidRPr="003235B8" w:rsidRDefault="00B64A7E" w:rsidP="005979AD">
            <w:pPr>
              <w:jc w:val="right"/>
              <w:rPr>
                <w:rFonts w:ascii="Arial" w:hAnsi="Arial" w:cs="Arial"/>
                <w:sz w:val="20"/>
                <w:szCs w:val="20"/>
              </w:rPr>
            </w:pPr>
            <w:r w:rsidRPr="003235B8">
              <w:rPr>
                <w:rFonts w:ascii="Arial" w:hAnsi="Arial" w:cs="Arial"/>
                <w:sz w:val="20"/>
                <w:szCs w:val="20"/>
              </w:rPr>
              <w:t>6.000.000</w:t>
            </w:r>
          </w:p>
        </w:tc>
      </w:tr>
      <w:tr w:rsidR="00B64A7E" w:rsidRPr="003235B8" w:rsidTr="00CC1739">
        <w:trPr>
          <w:trHeight w:val="284"/>
        </w:trPr>
        <w:tc>
          <w:tcPr>
            <w:tcW w:w="6096" w:type="dxa"/>
            <w:tcBorders>
              <w:left w:val="nil"/>
              <w:right w:val="single" w:sz="4" w:space="0" w:color="auto"/>
            </w:tcBorders>
            <w:shd w:val="clear" w:color="auto" w:fill="FFFFFF"/>
            <w:tcMar>
              <w:left w:w="425" w:type="dxa"/>
            </w:tcMar>
          </w:tcPr>
          <w:p w:rsidR="00B64A7E" w:rsidRPr="003235B8" w:rsidRDefault="00B64A7E" w:rsidP="005979AD">
            <w:pPr>
              <w:rPr>
                <w:rFonts w:ascii="Arial" w:hAnsi="Arial" w:cs="Arial"/>
                <w:bCs/>
                <w:color w:val="000000"/>
                <w:sz w:val="20"/>
                <w:szCs w:val="20"/>
              </w:rPr>
            </w:pPr>
          </w:p>
        </w:tc>
        <w:tc>
          <w:tcPr>
            <w:tcW w:w="1718" w:type="dxa"/>
            <w:tcBorders>
              <w:left w:val="nil"/>
              <w:right w:val="single" w:sz="4" w:space="0" w:color="auto"/>
            </w:tcBorders>
            <w:shd w:val="clear" w:color="auto" w:fill="FFFFFF"/>
          </w:tcPr>
          <w:p w:rsidR="00B64A7E" w:rsidRPr="003235B8" w:rsidRDefault="00B64A7E" w:rsidP="005979AD">
            <w:pPr>
              <w:jc w:val="right"/>
              <w:rPr>
                <w:rFonts w:ascii="Arial" w:hAnsi="Arial" w:cs="Arial"/>
                <w:bCs/>
                <w:color w:val="000000"/>
                <w:sz w:val="20"/>
                <w:szCs w:val="20"/>
              </w:rPr>
            </w:pPr>
          </w:p>
        </w:tc>
        <w:tc>
          <w:tcPr>
            <w:tcW w:w="1731" w:type="dxa"/>
            <w:tcBorders>
              <w:left w:val="nil"/>
              <w:right w:val="nil"/>
            </w:tcBorders>
            <w:shd w:val="clear" w:color="auto" w:fill="FFFFFF"/>
          </w:tcPr>
          <w:p w:rsidR="00B64A7E" w:rsidRPr="003235B8" w:rsidRDefault="00B64A7E" w:rsidP="005979AD">
            <w:pPr>
              <w:jc w:val="right"/>
              <w:rPr>
                <w:rFonts w:ascii="Arial" w:hAnsi="Arial" w:cs="Arial"/>
                <w:bCs/>
                <w:color w:val="000000"/>
                <w:sz w:val="20"/>
                <w:szCs w:val="20"/>
              </w:rPr>
            </w:pPr>
          </w:p>
        </w:tc>
      </w:tr>
      <w:tr w:rsidR="00B64A7E" w:rsidRPr="003235B8" w:rsidTr="00CC1739">
        <w:trPr>
          <w:trHeight w:val="284"/>
        </w:trPr>
        <w:tc>
          <w:tcPr>
            <w:tcW w:w="6096" w:type="dxa"/>
            <w:tcBorders>
              <w:top w:val="single" w:sz="4" w:space="0" w:color="auto"/>
              <w:left w:val="nil"/>
              <w:bottom w:val="single" w:sz="4" w:space="0" w:color="auto"/>
              <w:right w:val="single" w:sz="4" w:space="0" w:color="auto"/>
            </w:tcBorders>
            <w:shd w:val="clear" w:color="auto" w:fill="FFFFFF"/>
            <w:tcMar>
              <w:left w:w="425" w:type="dxa"/>
            </w:tcMar>
            <w:vAlign w:val="center"/>
          </w:tcPr>
          <w:p w:rsidR="00B64A7E" w:rsidRPr="003235B8" w:rsidRDefault="00B64A7E" w:rsidP="005979AD">
            <w:pPr>
              <w:rPr>
                <w:rFonts w:ascii="Arial" w:hAnsi="Arial" w:cs="Arial"/>
                <w:b/>
                <w:bCs/>
                <w:color w:val="000000"/>
                <w:sz w:val="20"/>
                <w:szCs w:val="20"/>
              </w:rPr>
            </w:pPr>
            <w:r w:rsidRPr="003235B8">
              <w:rPr>
                <w:rFonts w:ascii="Arial" w:hAnsi="Arial" w:cs="Arial"/>
                <w:b/>
                <w:color w:val="000000"/>
                <w:sz w:val="20"/>
                <w:szCs w:val="20"/>
              </w:rPr>
              <w:t>Total</w:t>
            </w:r>
          </w:p>
        </w:tc>
        <w:tc>
          <w:tcPr>
            <w:tcW w:w="1718" w:type="dxa"/>
            <w:tcBorders>
              <w:top w:val="single" w:sz="4" w:space="0" w:color="auto"/>
              <w:left w:val="nil"/>
              <w:bottom w:val="single" w:sz="4" w:space="0" w:color="auto"/>
              <w:right w:val="single" w:sz="4" w:space="0" w:color="auto"/>
            </w:tcBorders>
            <w:shd w:val="clear" w:color="auto" w:fill="FFFFFF"/>
            <w:vAlign w:val="center"/>
          </w:tcPr>
          <w:p w:rsidR="00B64A7E" w:rsidRPr="003235B8" w:rsidRDefault="00B64A7E" w:rsidP="005979AD">
            <w:pPr>
              <w:jc w:val="right"/>
              <w:rPr>
                <w:rFonts w:ascii="Arial" w:hAnsi="Arial" w:cs="Arial"/>
                <w:b/>
                <w:bCs/>
                <w:color w:val="000000"/>
                <w:sz w:val="20"/>
                <w:szCs w:val="20"/>
              </w:rPr>
            </w:pPr>
            <w:r w:rsidRPr="003235B8">
              <w:rPr>
                <w:rFonts w:ascii="Arial" w:hAnsi="Arial" w:cs="Arial"/>
                <w:b/>
                <w:sz w:val="20"/>
                <w:szCs w:val="20"/>
              </w:rPr>
              <w:t>12.914.311</w:t>
            </w:r>
          </w:p>
        </w:tc>
        <w:tc>
          <w:tcPr>
            <w:tcW w:w="1731" w:type="dxa"/>
            <w:tcBorders>
              <w:top w:val="single" w:sz="4" w:space="0" w:color="auto"/>
              <w:left w:val="nil"/>
              <w:bottom w:val="single" w:sz="4" w:space="0" w:color="auto"/>
              <w:right w:val="nil"/>
            </w:tcBorders>
            <w:shd w:val="clear" w:color="auto" w:fill="FFFFFF"/>
            <w:vAlign w:val="center"/>
          </w:tcPr>
          <w:p w:rsidR="00B64A7E" w:rsidRPr="003235B8" w:rsidRDefault="00B64A7E" w:rsidP="005979AD">
            <w:pPr>
              <w:jc w:val="right"/>
              <w:rPr>
                <w:rFonts w:ascii="Arial" w:hAnsi="Arial" w:cs="Arial"/>
                <w:b/>
                <w:bCs/>
                <w:color w:val="000000"/>
                <w:sz w:val="20"/>
                <w:szCs w:val="20"/>
              </w:rPr>
            </w:pPr>
            <w:r w:rsidRPr="003235B8">
              <w:rPr>
                <w:rFonts w:ascii="Arial" w:hAnsi="Arial" w:cs="Arial"/>
                <w:b/>
                <w:sz w:val="20"/>
                <w:szCs w:val="20"/>
              </w:rPr>
              <w:t>12.914.311</w:t>
            </w:r>
          </w:p>
        </w:tc>
      </w:tr>
    </w:tbl>
    <w:p w:rsidR="00B64A7E" w:rsidRPr="003235B8" w:rsidRDefault="00B64A7E" w:rsidP="00C12C64">
      <w:pPr>
        <w:tabs>
          <w:tab w:val="left" w:pos="426"/>
        </w:tabs>
        <w:rPr>
          <w:rFonts w:ascii="Arial" w:hAnsi="Arial" w:cs="Arial"/>
          <w:sz w:val="20"/>
          <w:szCs w:val="20"/>
        </w:rPr>
      </w:pPr>
    </w:p>
    <w:p w:rsidR="00B64A7E" w:rsidRPr="003235B8" w:rsidRDefault="00B64A7E">
      <w:pPr>
        <w:pStyle w:val="Standard"/>
        <w:rPr>
          <w:rFonts w:ascii="Arial" w:hAnsi="Arial" w:cs="Arial"/>
          <w:sz w:val="20"/>
          <w:szCs w:val="20"/>
        </w:rPr>
        <w:sectPr w:rsidR="00B64A7E" w:rsidRPr="003235B8" w:rsidSect="002D7B7E">
          <w:pgSz w:w="11906" w:h="16838"/>
          <w:pgMar w:top="1134" w:right="1134" w:bottom="1134" w:left="1134" w:header="720" w:footer="720" w:gutter="0"/>
          <w:cols w:space="720"/>
        </w:sectPr>
      </w:pPr>
    </w:p>
    <w:tbl>
      <w:tblPr>
        <w:tblW w:w="16160" w:type="dxa"/>
        <w:tblInd w:w="10" w:type="dxa"/>
        <w:tblLayout w:type="fixed"/>
        <w:tblCellMar>
          <w:left w:w="10" w:type="dxa"/>
          <w:right w:w="10" w:type="dxa"/>
        </w:tblCellMar>
        <w:tblLook w:val="0000" w:firstRow="0" w:lastRow="0" w:firstColumn="0" w:lastColumn="0" w:noHBand="0" w:noVBand="0"/>
      </w:tblPr>
      <w:tblGrid>
        <w:gridCol w:w="40"/>
        <w:gridCol w:w="40"/>
        <w:gridCol w:w="1040"/>
        <w:gridCol w:w="560"/>
        <w:gridCol w:w="800"/>
        <w:gridCol w:w="3480"/>
        <w:gridCol w:w="440"/>
        <w:gridCol w:w="1600"/>
        <w:gridCol w:w="1120"/>
        <w:gridCol w:w="480"/>
        <w:gridCol w:w="780"/>
        <w:gridCol w:w="820"/>
        <w:gridCol w:w="1600"/>
        <w:gridCol w:w="480"/>
        <w:gridCol w:w="1120"/>
        <w:gridCol w:w="920"/>
        <w:gridCol w:w="760"/>
        <w:gridCol w:w="40"/>
        <w:gridCol w:w="40"/>
      </w:tblGrid>
      <w:tr w:rsidR="00B64A7E" w:rsidRPr="003235B8" w:rsidTr="00431682">
        <w:tc>
          <w:tcPr>
            <w:tcW w:w="40" w:type="dxa"/>
          </w:tcPr>
          <w:p w:rsidR="00B64A7E" w:rsidRPr="003235B8" w:rsidRDefault="00B64A7E">
            <w:pPr>
              <w:pStyle w:val="EMPTYCELLSTYLE"/>
              <w:rPr>
                <w:rFonts w:ascii="Arial" w:hAnsi="Arial" w:cs="Arial"/>
                <w:sz w:val="20"/>
              </w:rPr>
            </w:pPr>
            <w:bookmarkStart w:id="1" w:name="JR_PAGE_ANCHOR_0_1"/>
            <w:bookmarkEnd w:id="1"/>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1080" w:type="dxa"/>
            <w:gridSpan w:val="2"/>
            <w:vMerge w:val="restart"/>
            <w:tcMar>
              <w:top w:w="0" w:type="dxa"/>
              <w:left w:w="0" w:type="dxa"/>
              <w:bottom w:w="0" w:type="dxa"/>
              <w:right w:w="0" w:type="dxa"/>
            </w:tcMar>
          </w:tcPr>
          <w:p w:rsidR="00B64A7E" w:rsidRPr="003235B8" w:rsidRDefault="003235B8">
            <w:pPr>
              <w:rPr>
                <w:rFonts w:ascii="Arial" w:hAnsi="Arial" w:cs="Arial"/>
                <w:sz w:val="20"/>
                <w:szCs w:val="20"/>
              </w:rPr>
            </w:pPr>
            <w:r w:rsidRPr="003235B8">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margin-left:0;margin-top:0;width:53pt;height:53pt;z-index:251659264;visibility:visible;mso-wrap-distance-left:0;mso-wrap-distance-right:0;mso-position-horizontal-relative:text;mso-position-vertical-relative:text">
                  <v:imagedata r:id="rId6" o:title=""/>
                </v:shape>
              </w:pict>
            </w:r>
          </w:p>
        </w:tc>
        <w:tc>
          <w:tcPr>
            <w:tcW w:w="8000" w:type="dxa"/>
            <w:gridSpan w:val="6"/>
            <w:tcMar>
              <w:top w:w="0" w:type="dxa"/>
              <w:left w:w="200" w:type="dxa"/>
              <w:bottom w:w="0" w:type="dxa"/>
              <w:right w:w="0" w:type="dxa"/>
            </w:tcMar>
            <w:vAlign w:val="center"/>
          </w:tcPr>
          <w:p w:rsidR="00B64A7E" w:rsidRPr="003235B8" w:rsidRDefault="00B64A7E">
            <w:pPr>
              <w:rPr>
                <w:rFonts w:ascii="Arial" w:hAnsi="Arial" w:cs="Arial"/>
                <w:sz w:val="20"/>
                <w:szCs w:val="20"/>
              </w:rPr>
            </w:pPr>
            <w:r w:rsidRPr="003235B8">
              <w:rPr>
                <w:rFonts w:ascii="Arial" w:eastAsia="Arial" w:hAnsi="Arial" w:cs="Arial"/>
                <w:b/>
                <w:color w:val="000000"/>
                <w:sz w:val="20"/>
                <w:szCs w:val="20"/>
              </w:rPr>
              <w:t>Ministério do Planejamento e Orçamento</w:t>
            </w: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1080" w:type="dxa"/>
            <w:gridSpan w:val="2"/>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B64A7E" w:rsidRPr="003235B8" w:rsidRDefault="00B64A7E">
            <w:pPr>
              <w:rPr>
                <w:rFonts w:ascii="Arial" w:hAnsi="Arial" w:cs="Arial"/>
                <w:sz w:val="20"/>
                <w:szCs w:val="20"/>
              </w:rPr>
            </w:pPr>
            <w:r w:rsidRPr="003235B8">
              <w:rPr>
                <w:rFonts w:ascii="Arial" w:eastAsia="Arial" w:hAnsi="Arial" w:cs="Arial"/>
                <w:color w:val="000000"/>
                <w:sz w:val="20"/>
                <w:szCs w:val="20"/>
              </w:rPr>
              <w:t>SIOP - Alterações Orçamentárias</w:t>
            </w:r>
          </w:p>
        </w:tc>
        <w:tc>
          <w:tcPr>
            <w:tcW w:w="7000" w:type="dxa"/>
            <w:gridSpan w:val="9"/>
            <w:tcMar>
              <w:top w:w="0" w:type="dxa"/>
              <w:left w:w="0" w:type="dxa"/>
              <w:bottom w:w="0" w:type="dxa"/>
              <w:right w:w="0" w:type="dxa"/>
            </w:tcMar>
            <w:vAlign w:val="center"/>
          </w:tcPr>
          <w:p w:rsidR="00B64A7E" w:rsidRPr="003235B8" w:rsidRDefault="00B64A7E">
            <w:pPr>
              <w:jc w:val="right"/>
              <w:rPr>
                <w:rFonts w:ascii="Arial" w:hAnsi="Arial" w:cs="Arial"/>
                <w:sz w:val="20"/>
                <w:szCs w:val="20"/>
              </w:rPr>
            </w:pPr>
            <w:r w:rsidRPr="003235B8">
              <w:rPr>
                <w:rFonts w:ascii="Arial" w:eastAsia="Arial" w:hAnsi="Arial" w:cs="Arial"/>
                <w:b/>
                <w:color w:val="000000"/>
                <w:sz w:val="20"/>
                <w:szCs w:val="20"/>
              </w:rPr>
              <w:t>Exercício: 2024</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400"/>
        </w:trPr>
        <w:tc>
          <w:tcPr>
            <w:tcW w:w="40" w:type="dxa"/>
          </w:tcPr>
          <w:p w:rsidR="00B64A7E" w:rsidRPr="003235B8" w:rsidRDefault="00B64A7E">
            <w:pPr>
              <w:pStyle w:val="EMPTYCELLSTYLE"/>
              <w:rPr>
                <w:rFonts w:ascii="Arial" w:hAnsi="Arial" w:cs="Arial"/>
                <w:sz w:val="20"/>
              </w:rPr>
            </w:pPr>
          </w:p>
        </w:tc>
        <w:tc>
          <w:tcPr>
            <w:tcW w:w="1080" w:type="dxa"/>
            <w:gridSpan w:val="2"/>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B64A7E" w:rsidRPr="003235B8" w:rsidRDefault="00B64A7E">
            <w:pPr>
              <w:rPr>
                <w:rFonts w:ascii="Arial" w:hAnsi="Arial" w:cs="Arial"/>
                <w:sz w:val="20"/>
                <w:szCs w:val="20"/>
              </w:rPr>
            </w:pPr>
            <w:r w:rsidRPr="003235B8">
              <w:rPr>
                <w:rFonts w:ascii="Arial" w:eastAsia="Arial" w:hAnsi="Arial" w:cs="Arial"/>
                <w:b/>
                <w:color w:val="000000"/>
                <w:sz w:val="20"/>
                <w:szCs w:val="20"/>
              </w:rPr>
              <w:t>RELATÓRIO DEMONSTRATIVO DOS DESVIOS</w:t>
            </w: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15000" w:type="dxa"/>
            <w:gridSpan w:val="15"/>
            <w:tcMar>
              <w:top w:w="0" w:type="dxa"/>
              <w:left w:w="200" w:type="dxa"/>
              <w:bottom w:w="0" w:type="dxa"/>
              <w:right w:w="0" w:type="dxa"/>
            </w:tcMar>
            <w:vAlign w:val="center"/>
          </w:tcPr>
          <w:p w:rsidR="00B64A7E" w:rsidRPr="003235B8" w:rsidRDefault="00B64A7E">
            <w:pPr>
              <w:rPr>
                <w:rFonts w:ascii="Arial" w:hAnsi="Arial" w:cs="Arial"/>
                <w:sz w:val="20"/>
                <w:szCs w:val="20"/>
              </w:rPr>
            </w:pPr>
            <w:r w:rsidRPr="003235B8">
              <w:rPr>
                <w:rFonts w:ascii="Arial" w:eastAsia="Arial" w:hAnsi="Arial" w:cs="Arial"/>
                <w:color w:val="000000"/>
                <w:sz w:val="20"/>
                <w:szCs w:val="20"/>
              </w:rPr>
              <w:t>(Art.54, §18, da Lei nº 14.791, de 29 de dezembro de 2023)</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10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8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w:hAnsi="Arial" w:cs="Arial"/>
                <w:b/>
                <w:color w:val="000000"/>
                <w:sz w:val="20"/>
                <w:szCs w:val="20"/>
              </w:rPr>
              <w:t>R$ 1,00</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4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40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vAlign w:val="bottom"/>
          </w:tcPr>
          <w:p w:rsidR="00B64A7E" w:rsidRPr="003235B8" w:rsidRDefault="00B64A7E">
            <w:pPr>
              <w:rPr>
                <w:rFonts w:ascii="Arial" w:hAnsi="Arial" w:cs="Arial"/>
                <w:sz w:val="20"/>
                <w:szCs w:val="20"/>
              </w:rPr>
            </w:pPr>
            <w:r w:rsidRPr="003235B8">
              <w:rPr>
                <w:rFonts w:ascii="Arial" w:eastAsia="Arial Narrow" w:hAnsi="Arial" w:cs="Arial"/>
                <w:b/>
                <w:color w:val="000000"/>
                <w:sz w:val="20"/>
                <w:szCs w:val="20"/>
              </w:rPr>
              <w:t>Programação</w:t>
            </w:r>
          </w:p>
        </w:tc>
        <w:tc>
          <w:tcPr>
            <w:tcW w:w="1600" w:type="dxa"/>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LOA</w:t>
            </w:r>
            <w:r w:rsidRPr="003235B8">
              <w:rPr>
                <w:rFonts w:ascii="Arial" w:eastAsia="Arial Narrow" w:hAnsi="Arial" w:cs="Arial"/>
                <w:b/>
                <w:color w:val="000000"/>
                <w:sz w:val="20"/>
                <w:szCs w:val="20"/>
              </w:rPr>
              <w:br/>
              <w:t>(A)</w:t>
            </w:r>
          </w:p>
        </w:tc>
        <w:tc>
          <w:tcPr>
            <w:tcW w:w="1600" w:type="dxa"/>
            <w:gridSpan w:val="2"/>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Dotação</w:t>
            </w:r>
            <w:r w:rsidRPr="003235B8">
              <w:rPr>
                <w:rFonts w:ascii="Arial" w:eastAsia="Arial Narrow" w:hAnsi="Arial" w:cs="Arial"/>
                <w:b/>
                <w:color w:val="000000"/>
                <w:sz w:val="20"/>
                <w:szCs w:val="20"/>
              </w:rPr>
              <w:br/>
              <w:t>Atual (B)</w:t>
            </w:r>
          </w:p>
        </w:tc>
        <w:tc>
          <w:tcPr>
            <w:tcW w:w="1600" w:type="dxa"/>
            <w:gridSpan w:val="2"/>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Créditos em</w:t>
            </w:r>
            <w:r w:rsidRPr="003235B8">
              <w:rPr>
                <w:rFonts w:ascii="Arial" w:eastAsia="Arial Narrow" w:hAnsi="Arial" w:cs="Arial"/>
                <w:b/>
                <w:color w:val="000000"/>
                <w:sz w:val="20"/>
                <w:szCs w:val="20"/>
              </w:rPr>
              <w:br/>
              <w:t>Tramitação (C)</w:t>
            </w:r>
          </w:p>
        </w:tc>
        <w:tc>
          <w:tcPr>
            <w:tcW w:w="1600" w:type="dxa"/>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Valor deste</w:t>
            </w:r>
            <w:r w:rsidRPr="003235B8">
              <w:rPr>
                <w:rFonts w:ascii="Arial" w:eastAsia="Arial Narrow" w:hAnsi="Arial" w:cs="Arial"/>
                <w:b/>
                <w:color w:val="000000"/>
                <w:sz w:val="20"/>
                <w:szCs w:val="20"/>
              </w:rPr>
              <w:br/>
              <w:t>Crédito (D)</w:t>
            </w:r>
          </w:p>
        </w:tc>
        <w:tc>
          <w:tcPr>
            <w:tcW w:w="1600" w:type="dxa"/>
            <w:gridSpan w:val="2"/>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Dotação Resultante</w:t>
            </w:r>
            <w:r w:rsidRPr="003235B8">
              <w:rPr>
                <w:rFonts w:ascii="Arial" w:eastAsia="Arial Narrow" w:hAnsi="Arial" w:cs="Arial"/>
                <w:b/>
                <w:color w:val="000000"/>
                <w:sz w:val="20"/>
                <w:szCs w:val="20"/>
              </w:rPr>
              <w:br/>
              <w:t>(E) = B + C + D</w:t>
            </w:r>
          </w:p>
        </w:tc>
        <w:tc>
          <w:tcPr>
            <w:tcW w:w="1720" w:type="dxa"/>
            <w:gridSpan w:val="3"/>
            <w:tcMar>
              <w:top w:w="0" w:type="dxa"/>
              <w:left w:w="0" w:type="dxa"/>
              <w:bottom w:w="0" w:type="dxa"/>
              <w:right w:w="0" w:type="dxa"/>
            </w:tcMar>
            <w:vAlign w:val="bottom"/>
          </w:tcPr>
          <w:p w:rsidR="00B64A7E" w:rsidRPr="003235B8" w:rsidRDefault="00B64A7E">
            <w:pPr>
              <w:jc w:val="right"/>
              <w:rPr>
                <w:rFonts w:ascii="Arial" w:hAnsi="Arial" w:cs="Arial"/>
                <w:sz w:val="20"/>
                <w:szCs w:val="20"/>
              </w:rPr>
            </w:pPr>
            <w:r w:rsidRPr="003235B8">
              <w:rPr>
                <w:rFonts w:ascii="Arial" w:eastAsia="Arial Narrow" w:hAnsi="Arial" w:cs="Arial"/>
                <w:b/>
                <w:color w:val="000000"/>
                <w:sz w:val="20"/>
                <w:szCs w:val="20"/>
              </w:rPr>
              <w:t>Desvio em Relação à</w:t>
            </w:r>
            <w:r w:rsidRPr="003235B8">
              <w:rPr>
                <w:rFonts w:ascii="Arial" w:eastAsia="Arial Narrow" w:hAnsi="Arial" w:cs="Arial"/>
                <w:b/>
                <w:color w:val="000000"/>
                <w:sz w:val="20"/>
                <w:szCs w:val="20"/>
              </w:rPr>
              <w:br/>
              <w:t>LOA (F) = (E - A) / A</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4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10.68902.26.781.3104.21GX.0001 - Gestão de Aeroportos Civis Públicos de Interesse da União - Nacional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9.356.850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3.274.898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-3.274.898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-100,00 %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10.68902.26.128.3104.20SW.0001 - Formação e Capacitação para a Aviação Civil - Nacional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955.685</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764.548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-748.548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16.000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-98,33 %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10.56101.17.511.2322.00VJ.0001 - Apoio à Implantação, Ampliação ou Melhoria de Ações e Serviços de Saneamento Básico em Áreas Rurais - Nacional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347.226.906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145.456.365</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-400.000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145.056.365</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-58,22 %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0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10.68902.26.122.3104.21GW.0001 - Desenvolvimento e incremento da aviação civil (Não PAC) - Nacional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21.079.635</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13.424.842</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-1.976.554</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11.448.288</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-45,69 %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10.39252.26.782.3106.7XS4.0011 - Adequação de Trecho Rodoviário - Divisa AM/RO - Entroncamento BR-364 (Porto Velho (Trevo do Roque)) - na BR-319/RO - No Estado de Rondônia</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5.498.646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4.779.646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-1.445.464</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3.334.182</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-39,36 %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10.39252.26.782.3106.7435.0026 - Adequação de Trecho Rodoviário - Divisa PB/PE - Divisa PE/AL - na BR-101/PE - No Estado de Pernambuco</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18.852.498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14.426.993</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-1.229.993</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13.197.000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-30,00 %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10.39252.26.782.3106.1K53.0043 - Obras complementares no Trecho Rodoviário - Entroncamento RS-326 (P/Ivoti) - Ponte Rio Guaíba - na BR-116/RS - No Estado do Rio Grande do Sul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57.000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57.000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-17.000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40.000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-29,82 %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10.26231.28.846.0910.00PW.0001 - Contribuições Regulares a Entidades ou Organismos Nacionais sem Exigência de Programação Específica - Nacional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152.998</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155.500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-44.000</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111.500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-27,12 %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360"/>
        </w:trPr>
        <w:tc>
          <w:tcPr>
            <w:tcW w:w="40" w:type="dxa"/>
          </w:tcPr>
          <w:p w:rsidR="00B64A7E" w:rsidRPr="003235B8" w:rsidRDefault="00B64A7E">
            <w:pPr>
              <w:pStyle w:val="EMPTYCELLSTYLE"/>
              <w:rPr>
                <w:rFonts w:ascii="Arial" w:hAnsi="Arial" w:cs="Arial"/>
                <w:sz w:val="20"/>
              </w:rPr>
            </w:pPr>
          </w:p>
        </w:tc>
        <w:tc>
          <w:tcPr>
            <w:tcW w:w="6360" w:type="dxa"/>
            <w:gridSpan w:val="6"/>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10.39252.26.782.3106.1214.0043 - Adequação de Trecho Rodoviário - Rio Grande - Pelotas - na BR-392/RS - No Estado do Rio Grande do Sul</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26.321.836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21.321.836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0</w:t>
            </w:r>
          </w:p>
        </w:tc>
        <w:tc>
          <w:tcPr>
            <w:tcW w:w="1600" w:type="dxa"/>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-1.925.836</w:t>
            </w:r>
          </w:p>
        </w:tc>
        <w:tc>
          <w:tcPr>
            <w:tcW w:w="1600" w:type="dxa"/>
            <w:gridSpan w:val="2"/>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19.396.000</w:t>
            </w:r>
          </w:p>
        </w:tc>
        <w:tc>
          <w:tcPr>
            <w:tcW w:w="1720" w:type="dxa"/>
            <w:gridSpan w:val="3"/>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-26,31 %</w:t>
            </w: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6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040" w:type="dxa"/>
          </w:tcPr>
          <w:p w:rsidR="00B64A7E" w:rsidRPr="003235B8" w:rsidRDefault="00B64A7E">
            <w:pPr>
              <w:pStyle w:val="EMPTYCELLSTYLE"/>
              <w:rPr>
                <w:rFonts w:ascii="Arial" w:hAnsi="Arial" w:cs="Arial"/>
                <w:sz w:val="20"/>
              </w:rPr>
            </w:pPr>
          </w:p>
        </w:tc>
        <w:tc>
          <w:tcPr>
            <w:tcW w:w="560" w:type="dxa"/>
          </w:tcPr>
          <w:p w:rsidR="00B64A7E" w:rsidRPr="003235B8" w:rsidRDefault="00B64A7E">
            <w:pPr>
              <w:pStyle w:val="EMPTYCELLSTYLE"/>
              <w:rPr>
                <w:rFonts w:ascii="Arial" w:hAnsi="Arial" w:cs="Arial"/>
                <w:sz w:val="20"/>
              </w:rPr>
            </w:pPr>
          </w:p>
        </w:tc>
        <w:tc>
          <w:tcPr>
            <w:tcW w:w="800" w:type="dxa"/>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20" w:type="dxa"/>
            <w:gridSpan w:val="5"/>
            <w:vMerge w:val="restart"/>
            <w:tcMar>
              <w:top w:w="0" w:type="dxa"/>
              <w:left w:w="0" w:type="dxa"/>
              <w:bottom w:w="0" w:type="dxa"/>
              <w:right w:w="0" w:type="dxa"/>
            </w:tcMar>
          </w:tcPr>
          <w:p w:rsidR="00B64A7E" w:rsidRPr="003235B8" w:rsidRDefault="00B64A7E">
            <w:pPr>
              <w:jc w:val="center"/>
              <w:rPr>
                <w:rFonts w:ascii="Arial" w:hAnsi="Arial" w:cs="Arial"/>
                <w:sz w:val="20"/>
                <w:szCs w:val="20"/>
              </w:rPr>
            </w:pPr>
            <w:r w:rsidRPr="003235B8">
              <w:rPr>
                <w:rFonts w:ascii="Arial" w:eastAsia="SansSerif" w:hAnsi="Arial" w:cs="Arial"/>
                <w:color w:val="000000"/>
                <w:sz w:val="20"/>
                <w:szCs w:val="20"/>
              </w:rPr>
              <w:t>SIOP - http://www.siop.planejamento.gov.br</w:t>
            </w: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2800" w:type="dxa"/>
            <w:gridSpan w:val="3"/>
            <w:vMerge w:val="restart"/>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SansSerif" w:hAnsi="Arial" w:cs="Arial"/>
                <w:color w:val="000000"/>
                <w:sz w:val="20"/>
                <w:szCs w:val="20"/>
              </w:rPr>
              <w:t>02/07/2024 21:52</w:t>
            </w: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20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600" w:type="dxa"/>
            <w:gridSpan w:val="2"/>
            <w:vMerge w:val="restart"/>
            <w:tcMar>
              <w:top w:w="0" w:type="dxa"/>
              <w:left w:w="0" w:type="dxa"/>
              <w:bottom w:w="0" w:type="dxa"/>
              <w:right w:w="0" w:type="dxa"/>
            </w:tcMar>
          </w:tcPr>
          <w:p w:rsidR="00B64A7E" w:rsidRPr="003235B8" w:rsidRDefault="00B64A7E">
            <w:pPr>
              <w:jc w:val="right"/>
              <w:rPr>
                <w:rFonts w:ascii="Arial" w:hAnsi="Arial" w:cs="Arial"/>
                <w:sz w:val="20"/>
                <w:szCs w:val="20"/>
              </w:rPr>
            </w:pPr>
            <w:r w:rsidRPr="003235B8">
              <w:rPr>
                <w:rFonts w:ascii="Arial" w:eastAsia="Arial Narrow" w:hAnsi="Arial" w:cs="Arial"/>
                <w:color w:val="000000"/>
                <w:sz w:val="20"/>
                <w:szCs w:val="20"/>
              </w:rPr>
              <w:t>Página 1 de</w:t>
            </w:r>
          </w:p>
        </w:tc>
        <w:tc>
          <w:tcPr>
            <w:tcW w:w="800" w:type="dxa"/>
            <w:vMerge w:val="restart"/>
            <w:tcMar>
              <w:top w:w="0" w:type="dxa"/>
              <w:left w:w="0" w:type="dxa"/>
              <w:bottom w:w="0" w:type="dxa"/>
              <w:right w:w="0" w:type="dxa"/>
            </w:tcMar>
          </w:tcPr>
          <w:p w:rsidR="00B64A7E" w:rsidRPr="003235B8" w:rsidRDefault="00B64A7E">
            <w:pPr>
              <w:rPr>
                <w:rFonts w:ascii="Arial" w:hAnsi="Arial" w:cs="Arial"/>
                <w:sz w:val="20"/>
                <w:szCs w:val="20"/>
              </w:rPr>
            </w:pPr>
            <w:r w:rsidRPr="003235B8">
              <w:rPr>
                <w:rFonts w:ascii="Arial" w:eastAsia="Arial Narrow" w:hAnsi="Arial" w:cs="Arial"/>
                <w:color w:val="000000"/>
                <w:sz w:val="20"/>
                <w:szCs w:val="20"/>
              </w:rPr>
              <w:t xml:space="preserve"> 1</w:t>
            </w:r>
          </w:p>
        </w:tc>
        <w:tc>
          <w:tcPr>
            <w:tcW w:w="3480" w:type="dxa"/>
          </w:tcPr>
          <w:p w:rsidR="00B64A7E" w:rsidRPr="003235B8" w:rsidRDefault="00B64A7E">
            <w:pPr>
              <w:pStyle w:val="EMPTYCELLSTYLE"/>
              <w:rPr>
                <w:rFonts w:ascii="Arial" w:hAnsi="Arial" w:cs="Arial"/>
                <w:sz w:val="20"/>
              </w:rPr>
            </w:pPr>
          </w:p>
        </w:tc>
        <w:tc>
          <w:tcPr>
            <w:tcW w:w="4420" w:type="dxa"/>
            <w:gridSpan w:val="5"/>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2800" w:type="dxa"/>
            <w:gridSpan w:val="3"/>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r w:rsidR="00B64A7E" w:rsidRPr="003235B8" w:rsidTr="00431682">
        <w:trPr>
          <w:trHeight w:hRule="exact" w:val="40"/>
        </w:trPr>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1600" w:type="dxa"/>
            <w:gridSpan w:val="2"/>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800" w:type="dxa"/>
            <w:vMerge/>
            <w:tcMar>
              <w:top w:w="0" w:type="dxa"/>
              <w:left w:w="0" w:type="dxa"/>
              <w:bottom w:w="0" w:type="dxa"/>
              <w:right w:w="0" w:type="dxa"/>
            </w:tcMar>
          </w:tcPr>
          <w:p w:rsidR="00B64A7E" w:rsidRPr="003235B8" w:rsidRDefault="00B64A7E">
            <w:pPr>
              <w:pStyle w:val="EMPTYCELLSTYLE"/>
              <w:rPr>
                <w:rFonts w:ascii="Arial" w:hAnsi="Arial" w:cs="Arial"/>
                <w:sz w:val="20"/>
              </w:rPr>
            </w:pPr>
          </w:p>
        </w:tc>
        <w:tc>
          <w:tcPr>
            <w:tcW w:w="3480" w:type="dxa"/>
          </w:tcPr>
          <w:p w:rsidR="00B64A7E" w:rsidRPr="003235B8" w:rsidRDefault="00B64A7E">
            <w:pPr>
              <w:pStyle w:val="EMPTYCELLSTYLE"/>
              <w:rPr>
                <w:rFonts w:ascii="Arial" w:hAnsi="Arial" w:cs="Arial"/>
                <w:sz w:val="20"/>
              </w:rPr>
            </w:pPr>
          </w:p>
        </w:tc>
        <w:tc>
          <w:tcPr>
            <w:tcW w:w="44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780" w:type="dxa"/>
          </w:tcPr>
          <w:p w:rsidR="00B64A7E" w:rsidRPr="003235B8" w:rsidRDefault="00B64A7E">
            <w:pPr>
              <w:pStyle w:val="EMPTYCELLSTYLE"/>
              <w:rPr>
                <w:rFonts w:ascii="Arial" w:hAnsi="Arial" w:cs="Arial"/>
                <w:sz w:val="20"/>
              </w:rPr>
            </w:pPr>
          </w:p>
        </w:tc>
        <w:tc>
          <w:tcPr>
            <w:tcW w:w="820" w:type="dxa"/>
          </w:tcPr>
          <w:p w:rsidR="00B64A7E" w:rsidRPr="003235B8" w:rsidRDefault="00B64A7E">
            <w:pPr>
              <w:pStyle w:val="EMPTYCELLSTYLE"/>
              <w:rPr>
                <w:rFonts w:ascii="Arial" w:hAnsi="Arial" w:cs="Arial"/>
                <w:sz w:val="20"/>
              </w:rPr>
            </w:pPr>
          </w:p>
        </w:tc>
        <w:tc>
          <w:tcPr>
            <w:tcW w:w="1600" w:type="dxa"/>
          </w:tcPr>
          <w:p w:rsidR="00B64A7E" w:rsidRPr="003235B8" w:rsidRDefault="00B64A7E">
            <w:pPr>
              <w:pStyle w:val="EMPTYCELLSTYLE"/>
              <w:rPr>
                <w:rFonts w:ascii="Arial" w:hAnsi="Arial" w:cs="Arial"/>
                <w:sz w:val="20"/>
              </w:rPr>
            </w:pPr>
          </w:p>
        </w:tc>
        <w:tc>
          <w:tcPr>
            <w:tcW w:w="480" w:type="dxa"/>
          </w:tcPr>
          <w:p w:rsidR="00B64A7E" w:rsidRPr="003235B8" w:rsidRDefault="00B64A7E">
            <w:pPr>
              <w:pStyle w:val="EMPTYCELLSTYLE"/>
              <w:rPr>
                <w:rFonts w:ascii="Arial" w:hAnsi="Arial" w:cs="Arial"/>
                <w:sz w:val="20"/>
              </w:rPr>
            </w:pPr>
          </w:p>
        </w:tc>
        <w:tc>
          <w:tcPr>
            <w:tcW w:w="1120" w:type="dxa"/>
          </w:tcPr>
          <w:p w:rsidR="00B64A7E" w:rsidRPr="003235B8" w:rsidRDefault="00B64A7E">
            <w:pPr>
              <w:pStyle w:val="EMPTYCELLSTYLE"/>
              <w:rPr>
                <w:rFonts w:ascii="Arial" w:hAnsi="Arial" w:cs="Arial"/>
                <w:sz w:val="20"/>
              </w:rPr>
            </w:pPr>
          </w:p>
        </w:tc>
        <w:tc>
          <w:tcPr>
            <w:tcW w:w="920" w:type="dxa"/>
          </w:tcPr>
          <w:p w:rsidR="00B64A7E" w:rsidRPr="003235B8" w:rsidRDefault="00B64A7E">
            <w:pPr>
              <w:pStyle w:val="EMPTYCELLSTYLE"/>
              <w:rPr>
                <w:rFonts w:ascii="Arial" w:hAnsi="Arial" w:cs="Arial"/>
                <w:sz w:val="20"/>
              </w:rPr>
            </w:pPr>
          </w:p>
        </w:tc>
        <w:tc>
          <w:tcPr>
            <w:tcW w:w="76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c>
          <w:tcPr>
            <w:tcW w:w="40" w:type="dxa"/>
          </w:tcPr>
          <w:p w:rsidR="00B64A7E" w:rsidRPr="003235B8" w:rsidRDefault="00B64A7E">
            <w:pPr>
              <w:pStyle w:val="EMPTYCELLSTYLE"/>
              <w:rPr>
                <w:rFonts w:ascii="Arial" w:hAnsi="Arial" w:cs="Arial"/>
                <w:sz w:val="20"/>
              </w:rPr>
            </w:pPr>
          </w:p>
        </w:tc>
      </w:tr>
    </w:tbl>
    <w:p w:rsidR="00B64A7E" w:rsidRPr="003235B8" w:rsidRDefault="00B64A7E">
      <w:pPr>
        <w:rPr>
          <w:rFonts w:ascii="Arial" w:hAnsi="Arial" w:cs="Arial"/>
          <w:sz w:val="20"/>
          <w:szCs w:val="20"/>
        </w:rPr>
      </w:pPr>
    </w:p>
    <w:bookmarkEnd w:id="0"/>
    <w:p w:rsidR="00193756" w:rsidRPr="003235B8" w:rsidRDefault="00193756">
      <w:pPr>
        <w:pStyle w:val="Standard"/>
        <w:rPr>
          <w:rFonts w:ascii="Arial" w:hAnsi="Arial" w:cs="Arial"/>
          <w:sz w:val="20"/>
          <w:szCs w:val="20"/>
        </w:rPr>
      </w:pPr>
    </w:p>
    <w:sectPr w:rsidR="00193756" w:rsidRPr="003235B8" w:rsidSect="00EB64D1">
      <w:pgSz w:w="16838" w:h="11906" w:orient="landscape"/>
      <w:pgMar w:top="426" w:right="395" w:bottom="720"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E28" w:rsidRDefault="00397495">
      <w:r>
        <w:separator/>
      </w:r>
    </w:p>
  </w:endnote>
  <w:endnote w:type="continuationSeparator" w:id="0">
    <w:p w:rsidR="00E82E28" w:rsidRDefault="0039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E28" w:rsidRDefault="00397495">
      <w:r>
        <w:rPr>
          <w:color w:val="000000"/>
        </w:rPr>
        <w:separator/>
      </w:r>
    </w:p>
  </w:footnote>
  <w:footnote w:type="continuationSeparator" w:id="0">
    <w:p w:rsidR="00E82E28" w:rsidRDefault="0039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56"/>
    <w:rsid w:val="00193756"/>
    <w:rsid w:val="003235B8"/>
    <w:rsid w:val="00397495"/>
    <w:rsid w:val="00B64A7E"/>
    <w:rsid w:val="00E82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B64D57-EE23-402F-A5CE-DD168018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qFormat/>
    <w:rsid w:val="00B64A7E"/>
    <w:pPr>
      <w:widowControl/>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6504</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Henrique Teixeira Botelho</dc:creator>
  <cp:lastModifiedBy>Edvaldo Luiz da Silva</cp:lastModifiedBy>
  <cp:revision>2</cp:revision>
  <dcterms:created xsi:type="dcterms:W3CDTF">2024-07-23T12:44:00Z</dcterms:created>
  <dcterms:modified xsi:type="dcterms:W3CDTF">2024-07-23T12:44:00Z</dcterms:modified>
</cp:coreProperties>
</file>