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29" w:rsidRPr="006B1BC2" w:rsidRDefault="00A43529">
      <w:pPr>
        <w:pStyle w:val="Textbody"/>
        <w:rPr>
          <w:rFonts w:ascii="Arial" w:hAnsi="Arial" w:cs="Arial"/>
          <w:sz w:val="20"/>
          <w:szCs w:val="20"/>
        </w:rPr>
      </w:pPr>
    </w:p>
    <w:p w:rsidR="00A43529" w:rsidRPr="006B1BC2" w:rsidRDefault="00A67AAF">
      <w:pPr>
        <w:pStyle w:val="Textbody"/>
        <w:spacing w:before="567" w:after="0"/>
        <w:ind w:left="680"/>
        <w:rPr>
          <w:rFonts w:ascii="Arial" w:hAnsi="Arial" w:cs="Arial"/>
          <w:sz w:val="20"/>
          <w:szCs w:val="20"/>
        </w:rPr>
      </w:pPr>
      <w:r w:rsidRPr="006B1BC2">
        <w:rPr>
          <w:rFonts w:ascii="Arial" w:hAnsi="Arial" w:cs="Arial"/>
          <w:sz w:val="20"/>
          <w:szCs w:val="20"/>
        </w:rPr>
        <w:t>EM n</w:t>
      </w:r>
      <w:r w:rsidRPr="006B1BC2">
        <w:rPr>
          <w:rFonts w:ascii="Arial" w:hAnsi="Arial" w:cs="Arial"/>
          <w:strike/>
          <w:sz w:val="20"/>
          <w:szCs w:val="20"/>
        </w:rPr>
        <w:t>º</w:t>
      </w:r>
      <w:r w:rsidRPr="006B1BC2">
        <w:rPr>
          <w:rFonts w:ascii="Arial" w:hAnsi="Arial" w:cs="Arial"/>
          <w:sz w:val="20"/>
          <w:szCs w:val="20"/>
        </w:rPr>
        <w:t xml:space="preserve"> 00015/2024 MPO</w:t>
      </w:r>
    </w:p>
    <w:p w:rsidR="00A43529" w:rsidRPr="006B1BC2" w:rsidRDefault="00A67AAF">
      <w:pPr>
        <w:pStyle w:val="Textbody"/>
        <w:rPr>
          <w:rFonts w:ascii="Arial" w:hAnsi="Arial" w:cs="Arial"/>
          <w:sz w:val="20"/>
          <w:szCs w:val="20"/>
        </w:rPr>
      </w:pPr>
      <w:r w:rsidRPr="006B1BC2">
        <w:rPr>
          <w:rFonts w:ascii="Arial" w:hAnsi="Arial" w:cs="Arial"/>
          <w:sz w:val="20"/>
          <w:szCs w:val="20"/>
        </w:rPr>
        <w:t> </w:t>
      </w:r>
    </w:p>
    <w:p w:rsidR="00A43529" w:rsidRPr="006B1BC2" w:rsidRDefault="00A67AAF">
      <w:pPr>
        <w:pStyle w:val="PreformattedText"/>
        <w:spacing w:after="1701"/>
        <w:jc w:val="right"/>
        <w:rPr>
          <w:rFonts w:ascii="Arial" w:hAnsi="Arial" w:cs="Arial"/>
        </w:rPr>
      </w:pPr>
      <w:r w:rsidRPr="006B1BC2">
        <w:rPr>
          <w:rFonts w:ascii="Arial" w:hAnsi="Arial" w:cs="Arial"/>
        </w:rPr>
        <w:t>Brasília, 12 de Abril de 2024</w:t>
      </w:r>
    </w:p>
    <w:p w:rsidR="00A43529" w:rsidRPr="006B1BC2" w:rsidRDefault="00A67AAF">
      <w:pPr>
        <w:pStyle w:val="Textbody"/>
        <w:spacing w:before="113" w:after="567"/>
        <w:ind w:firstLine="1134"/>
        <w:rPr>
          <w:rFonts w:ascii="Arial" w:hAnsi="Arial" w:cs="Arial"/>
          <w:sz w:val="20"/>
          <w:szCs w:val="20"/>
        </w:rPr>
      </w:pPr>
      <w:r w:rsidRPr="006B1BC2">
        <w:rPr>
          <w:rFonts w:ascii="Arial" w:hAnsi="Arial" w:cs="Arial"/>
          <w:sz w:val="20"/>
          <w:szCs w:val="20"/>
        </w:rPr>
        <w:t>Senhor Presidente da Repúb</w:t>
      </w:r>
      <w:bookmarkStart w:id="0" w:name="_GoBack"/>
      <w:bookmarkEnd w:id="0"/>
      <w:r w:rsidRPr="006B1BC2">
        <w:rPr>
          <w:rFonts w:ascii="Arial" w:hAnsi="Arial" w:cs="Arial"/>
          <w:sz w:val="20"/>
          <w:szCs w:val="20"/>
        </w:rPr>
        <w:t>lica,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                Encaminho em anexo o Projeto de Lei que “Dispõe sobre as diretrizes para a elaboração e a execução da Lei Orçamentária de 2025 e dá outras providências”, em cumprimento ao disposto no § 2º do art. 165 da Constituição Federal de 1988, e no inciso II do § 2º do art. 35 do Ato das Disposições Constitucionais Transitórias - ADCT.</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2.                A Constituição Federal de 1988 determina que a Lei de Diretrizes Orçamentárias - LDO deve compreender as metas e prioridades da administração pública federal, estabelecer as diretrizes de política fiscal e respectivas metas, em consonância com a trajetória sustentável da dívida pública, orientar a elaboração da Lei Orçamentária Anual - LOA, dispor sobre as alterações na legislação tributária, estabelecer a política de aplicação das agências financeiras oficiais de fomento, além de definir os limites e parâmetros para os demais Poderes, o Ministério Público da União - MPU e a Defensoria Pública da União – DPU elaborarem suas respectivas propostas orçamentárias.</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3.                A Lei de Responsabilidade Fiscal, por sua vez, detalha os instrumentos que devem ser adotados na LDO para a condução da política fiscal do governo, incluindo o estabelecimento de metas fiscais para cada exercício financeiro. Nesse sentido, deverão ser definidos pela LDO os critérios para a limitação de empenho das dotações aprovadas na Lei Orçamentária Anual, a serem aplicados aos Poderes, ao MPU e à DPU, explicitada a margem de expansão das despesas primárias obrigatórias de natureza continuada, bem como avaliados os riscos fiscais, e a situação atuarial e financeira dos regimes geral de previdência social e próprio dos servidores públicos, do Fundo de Amparo ao Trabalhador, além de outros fundos e programas dessa natureza.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4.                Já a Lei Complementar nº 200, de 30 de agosto de 2023 – LC 200/23, que instituiu o regime fiscal sustentável, determina que a LDO, em consonância com os diplomas supramencionados, estabelecerá as diretrizes de política fiscal e as respectivas metas anuais de resultado primário do Governo Central, para o exercício a que se referir e para os 3 (três) seguintes, compatíveis com a trajetória sustentável da dívida pública.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 xml:space="preserve">5.                Em relação às prioridades e metas da administração pública para o exercício de 2025, o art. 4º do Projeto de Lei estabelece um modelo que promove maior integração entre o Plano Plurianual – PPA e a Lei Orçamentária Anual – LOA. Nesse sentido, são reforçadas as prioridades estabelecidas no art. 3º da Lei do PPA para o período de 2024 a 2027, ou seja, combate à fome e redução das desigualdades, educação básica, saúde, atenção primária e atenção especializada, Programa de Aceleração do Crescimento - Novo PAC, neoindustrialização, trabalho, emprego e renda, e combate ao desmatamento e enfrentamento da emergência climática. Com vistas a aumentar a transparência, a seletividade e a efetividade </w:t>
      </w:r>
      <w:r w:rsidRPr="006B1BC2">
        <w:rPr>
          <w:rFonts w:ascii="Arial" w:hAnsi="Arial" w:cs="Arial"/>
          <w:sz w:val="20"/>
          <w:szCs w:val="20"/>
        </w:rPr>
        <w:lastRenderedPageBreak/>
        <w:t>desse instrumento de priorização, dispõe que o PLOA-2025 indicará a seleção de metas do PPA e despesas que contribuem para essas prioridades, as quais serão acompanhadas no exercício de 2025.</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6.                O PLDO-2025 estabelece meta de resultado primário de R$ 0,00 (zero real), para os Orçamentos Fiscal e da Seguridade Social (OFSS), e prevê intervalo de tolerância em montante equivalente a 0,25% do Produto Interno Bruto (PIB) estimado para 2025, o que corresponde a R$ 30.970.024.726,00 (trinta bilhões novecentos e setenta milhões vinte e quatro mil setecentos e vinte e seis reais), segundo os parâmetros adotados neste Projeto de Lei.</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7.                Em relação ao Programa de Dispêndios Globais, de que trata o inciso XIX do Anexo II do PLDO-2025, o Projeto estabelece meta de déficit primário de R$ 6.214.735.967,00 (seis bilhões duzentos e quatorze milhões setecentos e trinta e cinco mil novecentos e sessenta e sete reais).</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8.                Cumpre observar que este é o primeiro PLDO elaborado de acordo com o § 5º do art. 4º da Lei Complementar nº 101, de 2000, introduzido pela Lei Complementar nº 200, de 2023. Dessa forma, além da apresentação de metas anuais para o exercício a que se referir e para os 3 (três) seguintes, e não mais 2 (dois) exercícios, o Anexo IV do Projeto inclui o marco fiscal de médio prazo, com projeções para os principais agregados fiscais que compõem os cenários de referência, distinguindo-se as despesas primárias das financeiras e as obrigatórias daquelas discricionárias, e o efeito esperado e a compatibilidade, no período de 10 (dez) anos, do cumprimento das metas de resultado primário sobre a trajetória de convergência da dívida pública.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9.                Além disso, o Anexo IV do PLDO-2025 passa, pela primeira vez, a apresentar a estimativa do impacto fiscal das recomendações resultantes da avaliação das políticas públicas, em observância ao disposto no inciso VI do § 5º do art. 4º da Lei Complementar nº 101, de 2000, introduzido pela Lei Complementar nº 200, de 2023. Nesse contexto, o PLDO-2025 incorpora, ao ciclo orçamentário anual, o processo sistemático da revisão de gastos.</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10.              A revisão de gastos consiste no processo de analisar gastos públicos existentes a fim de identificar oportunidades de melhoria com vistas a abrir espaço orçamentário e financeiro para a manutenção da sustentabilidade fiscal e o financiamento de novas prioridades. Contribui, assim, para enfrentar o problema da “desatenção à base orçamentária” – caracterizado pelo foco desproporcional na análise de novos gastos enquanto recursos escassos continuam sendo alocados em despesas potencialmente ineficientes, de baixa efetividade ou não prioritárias, mitigando-se, por conseguinte, o incrementalismo orçamentário.</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11.              O processo de revisão de gastos no âmbito do Poder Executivo federal surge como uma resposta estratégica e proativa a três desafios: (1) reduzir a pressão das despesas obrigatórias, que têm previsão de crescimento, por força legal e de movimentos sociodemográficos, maior do que das despesas discricionárias; (2) garantir recursos para financiar a expansão de políticas existentes e a criação de novas a partir do ganho de eficiência no que hoje é implementado; e (3) aumentar, em termos relativos, a participação de programas mais efetivos e equitativos no volume total do orçamento.</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12.              Nesse contexto, foram incorporados ao Anexo IV do Projeto de Lei em apreço os resultados da revisão de gastos conduzida no âmbito do Poder Executivo Federal, em relação aos benefícios previdenciários geridos pelo Instituto Nacional do Seguro Social (INSS) – como o Auxílio por Incapacidade Temporária, e ao Programa de Garantia da Atividade Agropecuária – Proagro. São apresentadas as medidas de melhoria nas políticas públicas identificadas junto aos órgãos federais gestores ou executores, que, se implementadas em sua totalidade, podem proporcionar uma economia estimada de R$ 37,3 bilhões no período de 2025 a 2028.</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lastRenderedPageBreak/>
        <w:t>13.              A Lei Complementar nº 200, de 2023, dispõe ainda que a programação destinada a investimentos, constante do Projeto e da Lei Orçamentária Anual, não será inferior ao montante equivalente a 0,6% (seis décimos por cento) do PIB estimado no respectivo projeto. Nesse contexto, com base no § 14 do art. 165 da Constituição, o PLDO-2025 prevê que a proporção a ser considerada no PLOA e na LOA para a continuidade de investimentos em andamento corresponde 30,4% do referido montante de investimentos. Adicionalmente, esclarece que a mensagem de encaminhamento do PLOA ao Congresso Nacional deve demonstrar a compatibilidade da programação constante do Projeto de Lei com o montante mínimo previsto no art. 10 da Lei Complementar nº 200, de 2023, e adequar a proporção para investimentos em andamento, em face do contexto atualizado de agregados fiscais e informações orçamentárias.</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14.              No mesmo sentido, o PLDO-2025 propõe que as emendas parlamentares sejam destinadas, prioritariamente, a projetos em andamento, e quando dispuserem sobre o início de investimento com duração superior a um exercício financeiro ou cuja execução já tenha sido iniciada por emenda do autor, deverão ser objeto de emenda pelo mesmo autor, a cada exercício, até a conclusão do investimento. Esta regra já constou da LDO em anos anteriores em relação a emendas de bancada estadual, e passaria a compreender as outras modalidades de emendas parlamentares, de modo a fomentar a continuidade dos investimentos nos anos subsequentes e garantir a entrega dos bens e serviços à sociedade.</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15.              Adicionalmente, o Projeto em apreço visa esclarecer a forma de previsão, no orçamento de 2025, de despesas decorrentes da ampliação da base de cálculo do limite individualizado do Poder Executivo, de que trata o art. 14 da LC 200/2023. Segundo o referido dispositivo, eventual diferença na ampliação do limite do ano anterior em decorrência da apuração efetiva da receita será reduzida da base de cálculo e subtraída do limite do exercício financeiro subsequente. Desse modo, com vistas a dar transparência e previsibilidade ao processo orçamentário, o Projeto prevê que as despesas decorrentes da ampliação do limite devem ser tratadas como condicionadas, vinculando-se à confirmação da base de cálculo, conforme a apuração da arrecadação das receitas em 2024.</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16.              O Projeto de Lei explicita que serão divulgados anualmente, até 30 de abril do exercício subsequente, informações relativas à participação das Agendas Transversais e Multissetoriais no orçamento federal, contemplando, no mínimo, a participação da Agenda Mulher e da Agenda da Igualdade Racial. No caso da Agenda Transversal e Multissetorial de Crianças e Adolescentes, o relatório anual também será divulgado até 30 de abril e incluirá as informações acerca das programações orçamentárias destinadas à prevenção da violência e relativas à Primeira Infância.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17.              Com relação à organização do processo de elaboração das propostas orçamentárias dos Poderes Legislativo e Judiciário, do Ministério Público da União e da Defensoria Pública da União, e considerando os prazos para apuração da variação real da receita primária, de que tratam os arts. 4º e 5º da LC 200/23, o Projeto de Lei em apreço estabelece que, na hipótese de alteração dos limites originais, após a sua divulgação, haverá um procedimento estruturado para garantir a adequação das referidas propostas orçamentárias e o seu envio tempestivo ao Congresso Nacional.</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18.              Destaque-se que o presente Projeto de Lei é resultado da participação dos órgãos setoriais do Sistema de Planejamento e de Orçamento Federal, ou equivalentes, dos Poderes Executivo, Legislativo e Judiciário, do Ministério Público da União e da Defensoria Pública da União e dos diversos órgãos técnicos envolvidos no processo de elaboração e execução orçamentária.</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19.              Por fim, deve-se enfatizar a importância do Projeto de Lei em comento para o regramento necessário à elaboração do Projeto e da Lei Orçamentária de 2025, sua aprovação e execução, e a consolidação de bases fiscais necessárias ao alcance do crescimento sustentável do País.</w:t>
      </w:r>
    </w:p>
    <w:p w:rsidR="00A43529" w:rsidRPr="006B1BC2" w:rsidRDefault="00A67AAF">
      <w:pPr>
        <w:pStyle w:val="Textbody"/>
        <w:spacing w:after="200"/>
        <w:jc w:val="both"/>
        <w:rPr>
          <w:rFonts w:ascii="Arial" w:hAnsi="Arial" w:cs="Arial"/>
          <w:sz w:val="20"/>
          <w:szCs w:val="20"/>
        </w:rPr>
      </w:pPr>
      <w:r w:rsidRPr="006B1BC2">
        <w:rPr>
          <w:rFonts w:ascii="Arial" w:hAnsi="Arial" w:cs="Arial"/>
          <w:sz w:val="20"/>
          <w:szCs w:val="20"/>
        </w:rPr>
        <w:t>20.              Nessas condições, submeto à sua consideração o referido Projeto de Lei, que “Dispõe sobre as diretrizes para a elaboração e a execução da Lei Orçamentária de 2025 e dá outras providências.”</w:t>
      </w:r>
    </w:p>
    <w:p w:rsidR="00A43529" w:rsidRPr="006B1BC2" w:rsidRDefault="00A43529">
      <w:pPr>
        <w:pStyle w:val="Textbody"/>
        <w:spacing w:after="200"/>
        <w:ind w:firstLine="1134"/>
        <w:jc w:val="both"/>
        <w:rPr>
          <w:rFonts w:ascii="Arial" w:hAnsi="Arial" w:cs="Arial"/>
          <w:sz w:val="20"/>
          <w:szCs w:val="20"/>
        </w:rPr>
      </w:pPr>
    </w:p>
    <w:p w:rsidR="00A43529" w:rsidRPr="006B1BC2" w:rsidRDefault="00A67AAF">
      <w:pPr>
        <w:pStyle w:val="Textbody"/>
        <w:spacing w:after="1417"/>
        <w:ind w:firstLine="1134"/>
        <w:rPr>
          <w:rFonts w:ascii="Arial" w:hAnsi="Arial" w:cs="Arial"/>
          <w:sz w:val="20"/>
          <w:szCs w:val="20"/>
        </w:rPr>
      </w:pPr>
      <w:r w:rsidRPr="006B1BC2">
        <w:rPr>
          <w:rFonts w:ascii="Arial" w:hAnsi="Arial" w:cs="Arial"/>
          <w:sz w:val="20"/>
          <w:szCs w:val="20"/>
        </w:rPr>
        <w:t>Respeitosamente,</w:t>
      </w:r>
    </w:p>
    <w:p w:rsidR="00A43529" w:rsidRPr="006B1BC2" w:rsidRDefault="00A43529">
      <w:pPr>
        <w:pStyle w:val="Textbody"/>
        <w:spacing w:after="0"/>
        <w:jc w:val="center"/>
        <w:rPr>
          <w:rFonts w:ascii="Arial" w:hAnsi="Arial" w:cs="Arial"/>
          <w:sz w:val="20"/>
          <w:szCs w:val="20"/>
        </w:rPr>
      </w:pPr>
    </w:p>
    <w:p w:rsidR="00A43529" w:rsidRPr="006B1BC2" w:rsidRDefault="00A67AAF">
      <w:pPr>
        <w:pStyle w:val="Textbody"/>
        <w:rPr>
          <w:rFonts w:ascii="Arial" w:hAnsi="Arial" w:cs="Arial"/>
          <w:sz w:val="20"/>
          <w:szCs w:val="20"/>
        </w:rPr>
      </w:pPr>
      <w:r w:rsidRPr="006B1BC2">
        <w:rPr>
          <w:rFonts w:ascii="Arial" w:hAnsi="Arial" w:cs="Arial"/>
          <w:sz w:val="20"/>
          <w:szCs w:val="20"/>
        </w:rPr>
        <w:t> </w:t>
      </w:r>
    </w:p>
    <w:p w:rsidR="00A43529" w:rsidRPr="006B1BC2" w:rsidRDefault="00A67AAF">
      <w:pPr>
        <w:pStyle w:val="Textbody"/>
        <w:rPr>
          <w:rFonts w:ascii="Arial" w:hAnsi="Arial" w:cs="Arial"/>
          <w:sz w:val="20"/>
          <w:szCs w:val="20"/>
        </w:rPr>
      </w:pPr>
      <w:r w:rsidRPr="006B1BC2">
        <w:rPr>
          <w:rFonts w:ascii="Arial" w:hAnsi="Arial" w:cs="Arial"/>
          <w:sz w:val="20"/>
          <w:szCs w:val="20"/>
        </w:rPr>
        <w:t> </w:t>
      </w: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43529">
      <w:pPr>
        <w:pStyle w:val="Standard"/>
        <w:ind w:left="567" w:right="284"/>
        <w:rPr>
          <w:rFonts w:ascii="Arial" w:hAnsi="Arial" w:cs="Arial"/>
          <w:b/>
          <w:sz w:val="20"/>
          <w:szCs w:val="20"/>
        </w:rPr>
      </w:pPr>
    </w:p>
    <w:p w:rsidR="00A43529" w:rsidRPr="006B1BC2" w:rsidRDefault="00A67AAF">
      <w:pPr>
        <w:pStyle w:val="Standard"/>
        <w:ind w:left="567" w:right="284"/>
        <w:rPr>
          <w:rFonts w:ascii="Arial" w:hAnsi="Arial" w:cs="Arial"/>
          <w:b/>
          <w:i/>
          <w:sz w:val="20"/>
          <w:szCs w:val="20"/>
        </w:rPr>
      </w:pPr>
      <w:r w:rsidRPr="006B1BC2">
        <w:rPr>
          <w:rFonts w:ascii="Arial" w:hAnsi="Arial" w:cs="Arial"/>
          <w:b/>
          <w:i/>
          <w:sz w:val="20"/>
          <w:szCs w:val="20"/>
        </w:rPr>
        <w:t>Assinado eletronicamente por: Simone Nassar Tebet</w:t>
      </w:r>
    </w:p>
    <w:sectPr w:rsidR="00A43529" w:rsidRPr="006B1BC2" w:rsidSect="00032EE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35E" w:rsidRDefault="00A67AAF">
      <w:r>
        <w:separator/>
      </w:r>
    </w:p>
  </w:endnote>
  <w:endnote w:type="continuationSeparator" w:id="0">
    <w:p w:rsidR="009C335E" w:rsidRDefault="00A6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35E" w:rsidRDefault="00A67AAF">
      <w:r>
        <w:rPr>
          <w:color w:val="000000"/>
        </w:rPr>
        <w:separator/>
      </w:r>
    </w:p>
  </w:footnote>
  <w:footnote w:type="continuationSeparator" w:id="0">
    <w:p w:rsidR="009C335E" w:rsidRDefault="00A67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529"/>
    <w:rsid w:val="00032EE4"/>
    <w:rsid w:val="006B1BC2"/>
    <w:rsid w:val="00890AF6"/>
    <w:rsid w:val="009C335E"/>
    <w:rsid w:val="00A43529"/>
    <w:rsid w:val="00A67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036CE-65AB-4A14-8361-626763EC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1802</Words>
  <Characters>9736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Jussimara Campos Matsumoto Miranda</cp:lastModifiedBy>
  <cp:revision>3</cp:revision>
  <dcterms:created xsi:type="dcterms:W3CDTF">2024-04-15T23:24:00Z</dcterms:created>
  <dcterms:modified xsi:type="dcterms:W3CDTF">2024-04-15T23:25:00Z</dcterms:modified>
</cp:coreProperties>
</file>