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E79" w:rsidRPr="006A4AB2" w:rsidRDefault="00731E79">
      <w:pPr>
        <w:pStyle w:val="Textbody"/>
        <w:rPr>
          <w:rFonts w:ascii="Arial" w:hAnsi="Arial" w:cs="Arial"/>
          <w:sz w:val="20"/>
          <w:szCs w:val="20"/>
        </w:rPr>
      </w:pPr>
      <w:bookmarkStart w:id="0" w:name="_GoBack"/>
    </w:p>
    <w:p w:rsidR="00731E79" w:rsidRPr="006A4AB2" w:rsidRDefault="00041ADF">
      <w:pPr>
        <w:pStyle w:val="Textbody"/>
        <w:spacing w:before="567" w:after="0"/>
        <w:ind w:left="680"/>
        <w:rPr>
          <w:rFonts w:ascii="Arial" w:hAnsi="Arial" w:cs="Arial"/>
          <w:sz w:val="20"/>
          <w:szCs w:val="20"/>
        </w:rPr>
      </w:pPr>
      <w:r w:rsidRPr="006A4AB2">
        <w:rPr>
          <w:rFonts w:ascii="Arial" w:hAnsi="Arial" w:cs="Arial"/>
          <w:sz w:val="20"/>
          <w:szCs w:val="20"/>
        </w:rPr>
        <w:t>EM n</w:t>
      </w:r>
      <w:r w:rsidRPr="006A4AB2">
        <w:rPr>
          <w:rFonts w:ascii="Arial" w:hAnsi="Arial" w:cs="Arial"/>
          <w:strike/>
          <w:sz w:val="20"/>
          <w:szCs w:val="20"/>
        </w:rPr>
        <w:t>º</w:t>
      </w:r>
      <w:r w:rsidRPr="006A4AB2">
        <w:rPr>
          <w:rFonts w:ascii="Arial" w:hAnsi="Arial" w:cs="Arial"/>
          <w:sz w:val="20"/>
          <w:szCs w:val="20"/>
        </w:rPr>
        <w:t xml:space="preserve"> 00070/2023 MPO</w:t>
      </w:r>
    </w:p>
    <w:p w:rsidR="00731E79" w:rsidRPr="006A4AB2" w:rsidRDefault="00041ADF">
      <w:pPr>
        <w:pStyle w:val="Textbody"/>
        <w:rPr>
          <w:rFonts w:ascii="Arial" w:hAnsi="Arial" w:cs="Arial"/>
          <w:sz w:val="20"/>
          <w:szCs w:val="20"/>
        </w:rPr>
      </w:pPr>
      <w:r w:rsidRPr="006A4AB2">
        <w:rPr>
          <w:rFonts w:ascii="Arial" w:hAnsi="Arial" w:cs="Arial"/>
          <w:sz w:val="20"/>
          <w:szCs w:val="20"/>
        </w:rPr>
        <w:t> </w:t>
      </w:r>
    </w:p>
    <w:p w:rsidR="00731E79" w:rsidRPr="006A4AB2" w:rsidRDefault="00041ADF">
      <w:pPr>
        <w:pStyle w:val="PreformattedText"/>
        <w:spacing w:after="1701"/>
        <w:jc w:val="right"/>
        <w:rPr>
          <w:rFonts w:ascii="Arial" w:hAnsi="Arial" w:cs="Arial"/>
        </w:rPr>
      </w:pPr>
      <w:r w:rsidRPr="006A4AB2">
        <w:rPr>
          <w:rFonts w:ascii="Arial" w:hAnsi="Arial" w:cs="Arial"/>
        </w:rPr>
        <w:t>Brasília, 10 de Outubro de 2023</w:t>
      </w:r>
    </w:p>
    <w:p w:rsidR="00731E79" w:rsidRPr="006A4AB2" w:rsidRDefault="00041ADF">
      <w:pPr>
        <w:pStyle w:val="Textbody"/>
        <w:spacing w:before="113" w:after="567"/>
        <w:ind w:firstLine="1134"/>
        <w:rPr>
          <w:rFonts w:ascii="Arial" w:hAnsi="Arial" w:cs="Arial"/>
          <w:sz w:val="20"/>
          <w:szCs w:val="20"/>
        </w:rPr>
      </w:pPr>
      <w:r w:rsidRPr="006A4AB2">
        <w:rPr>
          <w:rFonts w:ascii="Arial" w:hAnsi="Arial" w:cs="Arial"/>
          <w:sz w:val="20"/>
          <w:szCs w:val="20"/>
        </w:rPr>
        <w:t>Senhor Presidente da República,</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1.                Proponho a abertura de crédito suplementar ao Orçamento Fiscal da União (Lei nº 14.535, de 17 de janeiro de 2023), no valor de R$ 5.087.628,00 (cinco milhões, oitenta e sete mil, seiscentos e vinte e oito reais), em favor das Justiças Federal e do Trabalho, e do Ministério Público da União, conforme demonstrado em Quadro Anexo a esta Exposição de Motivos.</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2.                O crédito em pauta visa à suplementação de programações no orçamento vigente dos mencionados órgãos, com o objetivo de viabilizar:</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a) na Justiça Federal:</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Justiça Federal de Primeiro Grau, a realização de reformas do Edifício-Sede em Juína - MT, e a contratação da fiscalização da execução dos serviços de manutenção predial do Edifício-Sede em Uberlândia; e</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Tribunal Regional Federal da 1ª Região, a complementação da ajuda de custo para Moradia ou Auxílio-Moradia a Agentes Públicos;</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b) na Justiça do Trabalho:</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Tribunal Regional do Trabalho da 10ª Região – Distrito Federal/Tocantins, o custeio de despesas correntes de segurança institucional e atas de registros de preços;</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Tribunal Regional do Trabalho da 17ª Região – Espírito Santo, a contratação de suporte ao “firewall” para manter sua segurança cibernética;</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Tribunal Regional da 18ª Região – Goiás, a concessão de ajuda de custo para Moradia ou Auxílio-Moradia a Agentes Públicos, a novos beneficiários; e</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t>- Tribunal Regional do Trabalho da 22ª Região – Piauí, as despesas com remoções de magistrados e servidores, decorrentes de vacâncias no cargo de Juiz titular da 4ª Vara do Trabalho de Teresina e Picos; e</w:t>
      </w:r>
    </w:p>
    <w:p w:rsidR="00731E79" w:rsidRPr="006A4AB2" w:rsidRDefault="00041ADF">
      <w:pPr>
        <w:pStyle w:val="Textbody"/>
        <w:spacing w:after="200"/>
        <w:ind w:firstLine="1134"/>
        <w:jc w:val="both"/>
        <w:rPr>
          <w:rFonts w:ascii="Arial" w:hAnsi="Arial" w:cs="Arial"/>
          <w:sz w:val="20"/>
          <w:szCs w:val="20"/>
        </w:rPr>
      </w:pPr>
      <w:r w:rsidRPr="006A4AB2">
        <w:rPr>
          <w:rFonts w:ascii="Arial" w:hAnsi="Arial" w:cs="Arial"/>
          <w:sz w:val="20"/>
          <w:szCs w:val="20"/>
        </w:rPr>
        <w:lastRenderedPageBreak/>
        <w:t>                    c) no Ministério Público da União, no âmbito do Ministério Público Militar, a continuidade da Construção do Edifício-Sede da Procuradoria de Justiça Militar no Rio de Janeiro - RJ.</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3.                O pleito em referência será viabilizado mediante Projeto de Lei, à conta da anulação de dotações orçamentárias, observado o disposto no art. 43, § 1º, inciso III, da Lei nº 4.320, de 17 de março de 1964, em conformidade com as prescrições do art. 167, inciso V, da Constituição.</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4.                Em relação ao que dispõe o art. 52, § 4º, da Lei nº 14.436, de 9 de agosto de 2022, Lei de Diretrizes Orçamentárias para 2023 - LDO-2023, cumpre informar que as alterações propostas no presente ato não afetam a obtenção da meta de resultado primário fixada para o corrente exercício, uma vez que se referem a remanejamento entre despesas primárias, não alterando o seu montante.</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5.                No que tange aos limites individualizados para as despesas primárias e demais operações que afetam o resultado primário, vale informar que o crédito em questão está de acordo com o § 1º do art. 12 da Lei Complementar nº 200, de 30 de agosto de 2023, por não ampliar as dotações orçamentárias sujeitas aos mencionados limites. Ressalta-se que, com a sanção da citada Lei, ficou revogado o art. 107 do Ato das Disposições Constitucionais Transitórias - ADCT, conforme dispõe o art. 9º da Emenda Constitucional nº 126, de 21 de dezembro de 2022, aplicando-se, em 2023, os limites vigentes no momento da publicação da LOA-2023, relativos ao respectivo Poder ou órgão, segundo o estabelecido no caput do art. 12 da Lei Complementar nº 200, de 2023.</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6.                Quanto ao disposto no inciso III do caput do art. 167 da Constituição Federal, destaca-se que o presente ato afeta positivamente o cumprimento da “Regra de Ouro”.</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7.                Em atendimento ao § 18 do art. 52 da LDO-2023, segue anexo o demonstrativo dos valores cancelados que ultrapassem vinte por cento das dotações das respectivas ações.</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8.                Ressalte-se, por oportuno, que as alterações em comento decorrem de solicitações formalizadas por meio do Sistema Integrado de Planejamento e Orçamento – SIOP e, de acordo com os órgãos envolvidos no presente ato, as programações objeto de cancelamento não sofrerão prejuízo na sua execução, uma vez que os remanejamentos foram decididos com base em projeções de suas possibilidades de dispêndio até o final do exercício atual.</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9.                Informo ainda que, na hipótese de atendimento ao pleito, o prazo final para encaminhamento da proposta de abertura do referido crédito ao Congresso Nacional é 15 de outubro de 2023, em cumprimento ao disposto no § 2º do art. 52 da LDO-2023.</w:t>
      </w:r>
    </w:p>
    <w:p w:rsidR="00731E79" w:rsidRPr="006A4AB2" w:rsidRDefault="00041ADF">
      <w:pPr>
        <w:pStyle w:val="Textbody"/>
        <w:spacing w:after="200"/>
        <w:jc w:val="both"/>
        <w:rPr>
          <w:rFonts w:ascii="Arial" w:hAnsi="Arial" w:cs="Arial"/>
          <w:sz w:val="20"/>
          <w:szCs w:val="20"/>
        </w:rPr>
      </w:pPr>
      <w:r w:rsidRPr="006A4AB2">
        <w:rPr>
          <w:rFonts w:ascii="Arial" w:hAnsi="Arial" w:cs="Arial"/>
          <w:sz w:val="20"/>
          <w:szCs w:val="20"/>
        </w:rPr>
        <w:t>10.              Diante do exposto, submeto à sua consideração o anexo Projeto de Lei, que visa efetivar a abertura de crédito suplementar.</w:t>
      </w:r>
    </w:p>
    <w:p w:rsidR="00731E79" w:rsidRPr="006A4AB2" w:rsidRDefault="00041ADF">
      <w:pPr>
        <w:pStyle w:val="Textbody"/>
        <w:spacing w:after="1417"/>
        <w:ind w:firstLine="1134"/>
        <w:rPr>
          <w:rFonts w:ascii="Arial" w:hAnsi="Arial" w:cs="Arial"/>
          <w:sz w:val="20"/>
          <w:szCs w:val="20"/>
        </w:rPr>
      </w:pPr>
      <w:r w:rsidRPr="006A4AB2">
        <w:rPr>
          <w:rFonts w:ascii="Arial" w:hAnsi="Arial" w:cs="Arial"/>
          <w:sz w:val="20"/>
          <w:szCs w:val="20"/>
        </w:rPr>
        <w:t>Respeitosamente,</w:t>
      </w:r>
    </w:p>
    <w:p w:rsidR="00731E79" w:rsidRPr="006A4AB2" w:rsidRDefault="00731E79">
      <w:pPr>
        <w:pStyle w:val="Textbody"/>
        <w:spacing w:after="0"/>
        <w:jc w:val="center"/>
        <w:rPr>
          <w:rFonts w:ascii="Arial" w:hAnsi="Arial" w:cs="Arial"/>
          <w:sz w:val="20"/>
          <w:szCs w:val="20"/>
        </w:rPr>
      </w:pPr>
    </w:p>
    <w:p w:rsidR="00731E79" w:rsidRPr="006A4AB2" w:rsidRDefault="00041ADF">
      <w:pPr>
        <w:pStyle w:val="Textbody"/>
        <w:rPr>
          <w:rFonts w:ascii="Arial" w:hAnsi="Arial" w:cs="Arial"/>
          <w:sz w:val="20"/>
          <w:szCs w:val="20"/>
        </w:rPr>
      </w:pPr>
      <w:r w:rsidRPr="006A4AB2">
        <w:rPr>
          <w:rFonts w:ascii="Arial" w:hAnsi="Arial" w:cs="Arial"/>
          <w:sz w:val="20"/>
          <w:szCs w:val="20"/>
        </w:rPr>
        <w:t> </w:t>
      </w:r>
    </w:p>
    <w:p w:rsidR="00731E79" w:rsidRPr="006A4AB2" w:rsidRDefault="00041ADF">
      <w:pPr>
        <w:pStyle w:val="Textbody"/>
        <w:rPr>
          <w:rFonts w:ascii="Arial" w:hAnsi="Arial" w:cs="Arial"/>
          <w:sz w:val="20"/>
          <w:szCs w:val="20"/>
        </w:rPr>
      </w:pPr>
      <w:r w:rsidRPr="006A4AB2">
        <w:rPr>
          <w:rFonts w:ascii="Arial" w:hAnsi="Arial" w:cs="Arial"/>
          <w:sz w:val="20"/>
          <w:szCs w:val="20"/>
        </w:rPr>
        <w:t> </w:t>
      </w: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731E79" w:rsidRPr="006A4AB2" w:rsidRDefault="00731E79">
      <w:pPr>
        <w:pStyle w:val="Standard"/>
        <w:ind w:left="567" w:right="284"/>
        <w:rPr>
          <w:rFonts w:ascii="Arial" w:hAnsi="Arial" w:cs="Arial"/>
          <w:b/>
          <w:sz w:val="20"/>
          <w:szCs w:val="20"/>
        </w:rPr>
      </w:pPr>
    </w:p>
    <w:p w:rsidR="00041ADF" w:rsidRPr="006A4AB2" w:rsidRDefault="00041ADF">
      <w:pPr>
        <w:pStyle w:val="Standard"/>
        <w:ind w:left="567" w:right="284"/>
        <w:rPr>
          <w:rFonts w:ascii="Arial" w:hAnsi="Arial" w:cs="Arial"/>
          <w:b/>
          <w:i/>
          <w:sz w:val="20"/>
          <w:szCs w:val="20"/>
        </w:rPr>
      </w:pPr>
      <w:r w:rsidRPr="006A4AB2">
        <w:rPr>
          <w:rFonts w:ascii="Arial" w:hAnsi="Arial" w:cs="Arial"/>
          <w:b/>
          <w:i/>
          <w:sz w:val="20"/>
          <w:szCs w:val="20"/>
        </w:rPr>
        <w:t>Assinado eletronicamente por: Simone Nassar Tebet</w:t>
      </w:r>
    </w:p>
    <w:p w:rsidR="00041ADF" w:rsidRPr="006A4AB2" w:rsidRDefault="00041ADF">
      <w:pPr>
        <w:suppressAutoHyphens w:val="0"/>
        <w:rPr>
          <w:rFonts w:ascii="Arial" w:hAnsi="Arial" w:cs="Arial"/>
          <w:b/>
          <w:i/>
          <w:sz w:val="20"/>
          <w:szCs w:val="20"/>
        </w:rPr>
      </w:pPr>
      <w:r w:rsidRPr="006A4AB2">
        <w:rPr>
          <w:rFonts w:ascii="Arial" w:hAnsi="Arial" w:cs="Arial"/>
          <w:b/>
          <w:i/>
          <w:sz w:val="20"/>
          <w:szCs w:val="20"/>
        </w:rPr>
        <w:br w:type="page"/>
      </w:r>
    </w:p>
    <w:p w:rsidR="00041ADF" w:rsidRPr="006A4AB2" w:rsidRDefault="00041ADF" w:rsidP="00041ADF">
      <w:pPr>
        <w:ind w:right="-1"/>
        <w:jc w:val="center"/>
        <w:rPr>
          <w:rFonts w:ascii="Arial" w:hAnsi="Arial" w:cs="Arial"/>
          <w:sz w:val="20"/>
          <w:szCs w:val="20"/>
        </w:rPr>
      </w:pPr>
      <w:r w:rsidRPr="006A4AB2">
        <w:rPr>
          <w:rFonts w:ascii="Arial" w:hAnsi="Arial" w:cs="Arial"/>
          <w:spacing w:val="-3"/>
          <w:sz w:val="20"/>
          <w:szCs w:val="20"/>
        </w:rPr>
        <w:lastRenderedPageBreak/>
        <w:t>QUADRO ANEXO À EXPOSIÇÃO DE MOTIVOS DO MINISTÉRIO DO PLANEJAMENTO E ORÇAMENTO N</w:t>
      </w:r>
      <w:r w:rsidRPr="006A4AB2">
        <w:rPr>
          <w:rFonts w:ascii="Arial" w:hAnsi="Arial" w:cs="Arial"/>
          <w:sz w:val="20"/>
          <w:szCs w:val="20"/>
          <w:u w:val="single"/>
          <w:vertAlign w:val="superscript"/>
        </w:rPr>
        <w:t>o</w:t>
      </w:r>
      <w:r w:rsidRPr="006A4AB2">
        <w:rPr>
          <w:rFonts w:ascii="Arial" w:hAnsi="Arial" w:cs="Arial"/>
          <w:spacing w:val="-3"/>
          <w:sz w:val="20"/>
          <w:szCs w:val="20"/>
        </w:rPr>
        <w:t xml:space="preserve"> 70, DE 10/10/2023</w:t>
      </w:r>
    </w:p>
    <w:p w:rsidR="00041ADF" w:rsidRPr="006A4AB2" w:rsidRDefault="00041ADF" w:rsidP="00041ADF">
      <w:pPr>
        <w:jc w:val="right"/>
        <w:rPr>
          <w:rFonts w:ascii="Arial" w:hAnsi="Arial" w:cs="Arial"/>
          <w:sz w:val="20"/>
          <w:szCs w:val="20"/>
        </w:rPr>
      </w:pPr>
    </w:p>
    <w:p w:rsidR="00041ADF" w:rsidRPr="006A4AB2" w:rsidRDefault="00041ADF" w:rsidP="00041ADF">
      <w:pPr>
        <w:jc w:val="right"/>
        <w:rPr>
          <w:rFonts w:ascii="Arial" w:hAnsi="Arial" w:cs="Arial"/>
          <w:sz w:val="20"/>
          <w:szCs w:val="20"/>
        </w:rPr>
      </w:pPr>
    </w:p>
    <w:p w:rsidR="00041ADF" w:rsidRPr="006A4AB2" w:rsidRDefault="00041ADF" w:rsidP="00041ADF">
      <w:pPr>
        <w:jc w:val="right"/>
        <w:rPr>
          <w:rFonts w:ascii="Arial" w:hAnsi="Arial" w:cs="Arial"/>
          <w:b/>
          <w:bCs/>
          <w:color w:val="000000"/>
          <w:sz w:val="20"/>
          <w:szCs w:val="20"/>
        </w:rPr>
      </w:pPr>
      <w:r w:rsidRPr="006A4AB2">
        <w:rPr>
          <w:rFonts w:ascii="Arial" w:hAnsi="Arial" w:cs="Arial"/>
          <w:sz w:val="20"/>
          <w:szCs w:val="20"/>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041ADF" w:rsidRPr="006A4AB2" w:rsidTr="00AF65FE">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041ADF" w:rsidRPr="006A4AB2" w:rsidRDefault="00041ADF" w:rsidP="00AF65FE">
            <w:pPr>
              <w:jc w:val="center"/>
              <w:rPr>
                <w:rFonts w:ascii="Arial" w:hAnsi="Arial" w:cs="Arial"/>
                <w:sz w:val="20"/>
                <w:szCs w:val="20"/>
              </w:rPr>
            </w:pPr>
            <w:r w:rsidRPr="006A4AB2">
              <w:rPr>
                <w:rFonts w:ascii="Arial" w:hAnsi="Arial" w:cs="Arial"/>
                <w:b/>
                <w:bCs/>
                <w:color w:val="000000"/>
                <w:sz w:val="20"/>
                <w:szCs w:val="2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041ADF" w:rsidRPr="006A4AB2" w:rsidRDefault="00041ADF" w:rsidP="00AF65FE">
            <w:pPr>
              <w:jc w:val="center"/>
              <w:rPr>
                <w:rFonts w:ascii="Arial" w:hAnsi="Arial" w:cs="Arial"/>
                <w:sz w:val="20"/>
                <w:szCs w:val="20"/>
              </w:rPr>
            </w:pPr>
            <w:r w:rsidRPr="006A4AB2">
              <w:rPr>
                <w:rFonts w:ascii="Arial" w:hAnsi="Arial" w:cs="Arial"/>
                <w:b/>
                <w:bCs/>
                <w:color w:val="000000"/>
                <w:sz w:val="20"/>
                <w:szCs w:val="20"/>
              </w:rPr>
              <w:t>Suplementação</w:t>
            </w:r>
          </w:p>
        </w:tc>
        <w:tc>
          <w:tcPr>
            <w:tcW w:w="1732" w:type="dxa"/>
            <w:tcBorders>
              <w:top w:val="single" w:sz="4" w:space="0" w:color="000000"/>
              <w:bottom w:val="single" w:sz="4" w:space="0" w:color="000000"/>
            </w:tcBorders>
            <w:shd w:val="clear" w:color="auto" w:fill="FFFFFF"/>
            <w:vAlign w:val="center"/>
          </w:tcPr>
          <w:p w:rsidR="00041ADF" w:rsidRPr="006A4AB2" w:rsidRDefault="00041ADF" w:rsidP="00AF65FE">
            <w:pPr>
              <w:jc w:val="center"/>
              <w:rPr>
                <w:rFonts w:ascii="Arial" w:hAnsi="Arial" w:cs="Arial"/>
                <w:sz w:val="20"/>
                <w:szCs w:val="20"/>
              </w:rPr>
            </w:pPr>
            <w:r w:rsidRPr="006A4AB2">
              <w:rPr>
                <w:rFonts w:ascii="Arial" w:hAnsi="Arial" w:cs="Arial"/>
                <w:b/>
                <w:bCs/>
                <w:color w:val="000000"/>
                <w:sz w:val="20"/>
                <w:szCs w:val="20"/>
              </w:rPr>
              <w:t>Origem dos Recursos</w:t>
            </w:r>
          </w:p>
        </w:tc>
      </w:tr>
      <w:tr w:rsidR="00041ADF" w:rsidRPr="006A4AB2" w:rsidTr="00AF65FE">
        <w:trPr>
          <w:trHeight w:val="284"/>
        </w:trPr>
        <w:tc>
          <w:tcPr>
            <w:tcW w:w="6096" w:type="dxa"/>
            <w:tcBorders>
              <w:right w:val="single" w:sz="4" w:space="0" w:color="000000"/>
            </w:tcBorders>
            <w:shd w:val="clear" w:color="auto" w:fill="FFFFFF"/>
            <w:tcMar>
              <w:left w:w="425" w:type="dxa"/>
            </w:tcMar>
          </w:tcPr>
          <w:p w:rsidR="00041ADF" w:rsidRPr="006A4AB2" w:rsidRDefault="00041ADF" w:rsidP="00AF65FE">
            <w:pPr>
              <w:rPr>
                <w:rFonts w:ascii="Arial" w:hAnsi="Arial" w:cs="Arial"/>
                <w:bCs/>
                <w:color w:val="000000"/>
                <w:sz w:val="20"/>
                <w:szCs w:val="20"/>
              </w:rPr>
            </w:pP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bCs/>
                <w:color w:val="000000"/>
                <w:sz w:val="20"/>
                <w:szCs w:val="20"/>
              </w:rPr>
            </w:pPr>
          </w:p>
        </w:tc>
        <w:tc>
          <w:tcPr>
            <w:tcW w:w="1732" w:type="dxa"/>
            <w:shd w:val="clear" w:color="auto" w:fill="FFFFFF"/>
          </w:tcPr>
          <w:p w:rsidR="00041ADF" w:rsidRPr="006A4AB2" w:rsidRDefault="00041ADF" w:rsidP="00AF65FE">
            <w:pPr>
              <w:jc w:val="right"/>
              <w:rPr>
                <w:rFonts w:ascii="Arial" w:hAnsi="Arial" w:cs="Arial"/>
                <w:bCs/>
                <w:color w:val="000000"/>
                <w:sz w:val="20"/>
                <w:szCs w:val="20"/>
              </w:rPr>
            </w:pP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b/>
                <w:bCs/>
                <w:color w:val="000000"/>
                <w:sz w:val="20"/>
                <w:szCs w:val="20"/>
              </w:rPr>
            </w:pP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b/>
                <w:bCs/>
                <w:color w:val="000000"/>
                <w:sz w:val="20"/>
                <w:szCs w:val="20"/>
              </w:rPr>
            </w:pPr>
          </w:p>
        </w:tc>
        <w:tc>
          <w:tcPr>
            <w:tcW w:w="1732" w:type="dxa"/>
            <w:shd w:val="clear" w:color="auto" w:fill="FFFFFF"/>
          </w:tcPr>
          <w:p w:rsidR="00041ADF" w:rsidRPr="006A4AB2" w:rsidRDefault="00041ADF" w:rsidP="00AF65FE">
            <w:pPr>
              <w:jc w:val="right"/>
              <w:rPr>
                <w:rFonts w:ascii="Arial" w:hAnsi="Arial" w:cs="Arial"/>
                <w:b/>
                <w:bCs/>
                <w:color w:val="000000"/>
                <w:sz w:val="20"/>
                <w:szCs w:val="20"/>
              </w:rPr>
            </w:pP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b/>
                <w:bCs/>
                <w:color w:val="000000"/>
                <w:sz w:val="20"/>
                <w:szCs w:val="20"/>
              </w:rPr>
              <w:t>Justiça Federal</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
                <w:sz w:val="20"/>
                <w:szCs w:val="20"/>
              </w:rPr>
              <w:t>1.933.812</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
                <w:bCs/>
                <w:color w:val="000000"/>
                <w:sz w:val="20"/>
                <w:szCs w:val="20"/>
              </w:rPr>
              <w:t>1.933.812</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sz w:val="20"/>
                <w:szCs w:val="20"/>
              </w:rPr>
              <w:t>Justiça Federal de Primeiro Grau</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1.683.812</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1.683.812</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ind w:firstLine="2"/>
              <w:rPr>
                <w:rFonts w:ascii="Arial" w:hAnsi="Arial" w:cs="Arial"/>
                <w:sz w:val="20"/>
                <w:szCs w:val="20"/>
              </w:rPr>
            </w:pPr>
            <w:r w:rsidRPr="006A4AB2">
              <w:rPr>
                <w:rFonts w:ascii="Arial" w:hAnsi="Arial" w:cs="Arial"/>
                <w:sz w:val="20"/>
                <w:szCs w:val="20"/>
              </w:rPr>
              <w:t>Tribunal Regional Federal da 1ª Região</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250.000</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250.000</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b/>
                <w:bCs/>
                <w:color w:val="000000"/>
                <w:sz w:val="20"/>
                <w:szCs w:val="20"/>
              </w:rPr>
            </w:pP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b/>
                <w:sz w:val="20"/>
                <w:szCs w:val="20"/>
              </w:rPr>
            </w:pPr>
          </w:p>
        </w:tc>
        <w:tc>
          <w:tcPr>
            <w:tcW w:w="1732" w:type="dxa"/>
            <w:shd w:val="clear" w:color="auto" w:fill="FFFFFF"/>
          </w:tcPr>
          <w:p w:rsidR="00041ADF" w:rsidRPr="006A4AB2" w:rsidRDefault="00041ADF" w:rsidP="00AF65FE">
            <w:pPr>
              <w:jc w:val="right"/>
              <w:rPr>
                <w:rFonts w:ascii="Arial" w:hAnsi="Arial" w:cs="Arial"/>
                <w:b/>
                <w:bCs/>
                <w:color w:val="000000"/>
                <w:sz w:val="20"/>
                <w:szCs w:val="20"/>
              </w:rPr>
            </w:pP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b/>
                <w:bCs/>
                <w:color w:val="000000"/>
                <w:sz w:val="20"/>
                <w:szCs w:val="20"/>
              </w:rPr>
              <w:t>Justiça do Trabalho</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
                <w:sz w:val="20"/>
                <w:szCs w:val="20"/>
              </w:rPr>
              <w:t>1.768.816</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
                <w:sz w:val="20"/>
                <w:szCs w:val="20"/>
              </w:rPr>
              <w:t>1.768.816</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sz w:val="20"/>
                <w:szCs w:val="20"/>
              </w:rPr>
              <w:t>Tribunal Regional do Trabalho da 10ª Região – DF/TO</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200.000</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200.000</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sz w:val="20"/>
                <w:szCs w:val="20"/>
              </w:rPr>
              <w:t>Tribunal Regional do Trabalho da 17ª Região – ES</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958.987</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0</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sz w:val="20"/>
                <w:szCs w:val="20"/>
              </w:rPr>
              <w:t>Tribunal Regional do Trabalho da 18ª Região – GO</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108.829</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0</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sz w:val="20"/>
                <w:szCs w:val="20"/>
              </w:rPr>
              <w:t>Tribunal Regional do Trabalho da 22ª Região – PI</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501.000</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0</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sz w:val="20"/>
                <w:szCs w:val="20"/>
              </w:rPr>
              <w:t>Conselho Superior da Justiça do Trabalho</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0</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1.568.816</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b/>
                <w:bCs/>
                <w:color w:val="000000"/>
                <w:sz w:val="20"/>
                <w:szCs w:val="20"/>
              </w:rPr>
            </w:pP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b/>
                <w:sz w:val="20"/>
                <w:szCs w:val="20"/>
              </w:rPr>
            </w:pPr>
          </w:p>
        </w:tc>
        <w:tc>
          <w:tcPr>
            <w:tcW w:w="1732" w:type="dxa"/>
            <w:shd w:val="clear" w:color="auto" w:fill="FFFFFF"/>
          </w:tcPr>
          <w:p w:rsidR="00041ADF" w:rsidRPr="006A4AB2" w:rsidRDefault="00041ADF" w:rsidP="00AF65FE">
            <w:pPr>
              <w:jc w:val="right"/>
              <w:rPr>
                <w:rFonts w:ascii="Arial" w:hAnsi="Arial" w:cs="Arial"/>
                <w:b/>
                <w:bCs/>
                <w:color w:val="000000"/>
                <w:sz w:val="20"/>
                <w:szCs w:val="20"/>
              </w:rPr>
            </w:pP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b/>
                <w:bCs/>
                <w:color w:val="000000"/>
                <w:sz w:val="20"/>
                <w:szCs w:val="20"/>
              </w:rPr>
              <w:t>Ministério Público da União</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
                <w:sz w:val="20"/>
                <w:szCs w:val="20"/>
              </w:rPr>
              <w:t>1.385.000</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
                <w:bCs/>
                <w:color w:val="000000"/>
                <w:sz w:val="20"/>
                <w:szCs w:val="20"/>
              </w:rPr>
              <w:t>1.385.000</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ind w:firstLine="2"/>
              <w:rPr>
                <w:rFonts w:ascii="Arial" w:hAnsi="Arial" w:cs="Arial"/>
                <w:sz w:val="20"/>
                <w:szCs w:val="20"/>
              </w:rPr>
            </w:pPr>
            <w:r w:rsidRPr="006A4AB2">
              <w:rPr>
                <w:rFonts w:ascii="Arial" w:hAnsi="Arial" w:cs="Arial"/>
                <w:sz w:val="20"/>
                <w:szCs w:val="20"/>
              </w:rPr>
              <w:t>Ministério Público Federal</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0</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1.385.000</w:t>
            </w:r>
          </w:p>
        </w:tc>
      </w:tr>
      <w:tr w:rsidR="00041ADF" w:rsidRPr="006A4AB2" w:rsidTr="00AF65FE">
        <w:trPr>
          <w:trHeight w:val="299"/>
        </w:trPr>
        <w:tc>
          <w:tcPr>
            <w:tcW w:w="6096" w:type="dxa"/>
            <w:tcBorders>
              <w:right w:val="single" w:sz="4" w:space="0" w:color="000000"/>
            </w:tcBorders>
            <w:shd w:val="clear" w:color="auto" w:fill="FFFFFF"/>
          </w:tcPr>
          <w:p w:rsidR="00041ADF" w:rsidRPr="006A4AB2" w:rsidRDefault="00041ADF" w:rsidP="00AF65FE">
            <w:pPr>
              <w:rPr>
                <w:rFonts w:ascii="Arial" w:hAnsi="Arial" w:cs="Arial"/>
                <w:sz w:val="20"/>
                <w:szCs w:val="20"/>
              </w:rPr>
            </w:pPr>
            <w:r w:rsidRPr="006A4AB2">
              <w:rPr>
                <w:rFonts w:ascii="Arial" w:hAnsi="Arial" w:cs="Arial"/>
                <w:sz w:val="20"/>
                <w:szCs w:val="20"/>
              </w:rPr>
              <w:t>Ministério Público Militar</w:t>
            </w: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1.385.000</w:t>
            </w:r>
          </w:p>
        </w:tc>
        <w:tc>
          <w:tcPr>
            <w:tcW w:w="1732" w:type="dxa"/>
            <w:shd w:val="clear" w:color="auto" w:fill="FFFFFF"/>
          </w:tcPr>
          <w:p w:rsidR="00041ADF" w:rsidRPr="006A4AB2" w:rsidRDefault="00041ADF" w:rsidP="00AF65FE">
            <w:pPr>
              <w:jc w:val="right"/>
              <w:rPr>
                <w:rFonts w:ascii="Arial" w:hAnsi="Arial" w:cs="Arial"/>
                <w:sz w:val="20"/>
                <w:szCs w:val="20"/>
              </w:rPr>
            </w:pPr>
            <w:r w:rsidRPr="006A4AB2">
              <w:rPr>
                <w:rFonts w:ascii="Arial" w:hAnsi="Arial" w:cs="Arial"/>
                <w:bCs/>
                <w:color w:val="000000"/>
                <w:sz w:val="20"/>
                <w:szCs w:val="20"/>
              </w:rPr>
              <w:t>0</w:t>
            </w:r>
          </w:p>
        </w:tc>
      </w:tr>
      <w:tr w:rsidR="00041ADF" w:rsidRPr="006A4AB2" w:rsidTr="00AF65FE">
        <w:trPr>
          <w:trHeight w:val="284"/>
        </w:trPr>
        <w:tc>
          <w:tcPr>
            <w:tcW w:w="6096" w:type="dxa"/>
            <w:tcBorders>
              <w:right w:val="single" w:sz="4" w:space="0" w:color="000000"/>
            </w:tcBorders>
            <w:shd w:val="clear" w:color="auto" w:fill="FFFFFF"/>
          </w:tcPr>
          <w:p w:rsidR="00041ADF" w:rsidRPr="006A4AB2" w:rsidRDefault="00041ADF" w:rsidP="00AF65FE">
            <w:pPr>
              <w:ind w:firstLine="709"/>
              <w:rPr>
                <w:rFonts w:ascii="Arial" w:hAnsi="Arial" w:cs="Arial"/>
                <w:sz w:val="20"/>
                <w:szCs w:val="20"/>
              </w:rPr>
            </w:pPr>
          </w:p>
        </w:tc>
        <w:tc>
          <w:tcPr>
            <w:tcW w:w="1717" w:type="dxa"/>
            <w:tcBorders>
              <w:right w:val="single" w:sz="4" w:space="0" w:color="000000"/>
            </w:tcBorders>
            <w:shd w:val="clear" w:color="auto" w:fill="FFFFFF"/>
          </w:tcPr>
          <w:p w:rsidR="00041ADF" w:rsidRPr="006A4AB2" w:rsidRDefault="00041ADF" w:rsidP="00AF65FE">
            <w:pPr>
              <w:jc w:val="right"/>
              <w:rPr>
                <w:rFonts w:ascii="Arial" w:hAnsi="Arial" w:cs="Arial"/>
                <w:bCs/>
                <w:color w:val="000000"/>
                <w:sz w:val="20"/>
                <w:szCs w:val="20"/>
              </w:rPr>
            </w:pPr>
          </w:p>
        </w:tc>
        <w:tc>
          <w:tcPr>
            <w:tcW w:w="1732" w:type="dxa"/>
            <w:shd w:val="clear" w:color="auto" w:fill="FFFFFF"/>
          </w:tcPr>
          <w:p w:rsidR="00041ADF" w:rsidRPr="006A4AB2" w:rsidRDefault="00041ADF" w:rsidP="00AF65FE">
            <w:pPr>
              <w:jc w:val="right"/>
              <w:rPr>
                <w:rFonts w:ascii="Arial" w:hAnsi="Arial" w:cs="Arial"/>
                <w:bCs/>
                <w:color w:val="000000"/>
                <w:sz w:val="20"/>
                <w:szCs w:val="20"/>
              </w:rPr>
            </w:pPr>
          </w:p>
        </w:tc>
      </w:tr>
      <w:tr w:rsidR="00041ADF" w:rsidRPr="006A4AB2" w:rsidTr="00AF65FE">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041ADF" w:rsidRPr="006A4AB2" w:rsidRDefault="00041ADF" w:rsidP="00AF65FE">
            <w:pPr>
              <w:rPr>
                <w:rFonts w:ascii="Arial" w:hAnsi="Arial" w:cs="Arial"/>
                <w:sz w:val="20"/>
                <w:szCs w:val="20"/>
              </w:rPr>
            </w:pPr>
            <w:r w:rsidRPr="006A4AB2">
              <w:rPr>
                <w:rFonts w:ascii="Arial" w:hAnsi="Arial" w:cs="Arial"/>
                <w:b/>
                <w:color w:val="000000"/>
                <w:sz w:val="20"/>
                <w:szCs w:val="2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041ADF" w:rsidRPr="006A4AB2" w:rsidRDefault="00041ADF" w:rsidP="00AF65FE">
            <w:pPr>
              <w:jc w:val="right"/>
              <w:rPr>
                <w:rFonts w:ascii="Arial" w:hAnsi="Arial" w:cs="Arial"/>
                <w:sz w:val="20"/>
                <w:szCs w:val="20"/>
              </w:rPr>
            </w:pPr>
            <w:r w:rsidRPr="006A4AB2">
              <w:rPr>
                <w:rFonts w:ascii="Arial" w:hAnsi="Arial" w:cs="Arial"/>
                <w:b/>
                <w:sz w:val="20"/>
                <w:szCs w:val="20"/>
              </w:rPr>
              <w:t>5.087.628</w:t>
            </w:r>
          </w:p>
        </w:tc>
        <w:tc>
          <w:tcPr>
            <w:tcW w:w="1732" w:type="dxa"/>
            <w:tcBorders>
              <w:top w:val="single" w:sz="4" w:space="0" w:color="000000"/>
              <w:bottom w:val="single" w:sz="4" w:space="0" w:color="000000"/>
            </w:tcBorders>
            <w:shd w:val="clear" w:color="auto" w:fill="FFFFFF"/>
            <w:vAlign w:val="center"/>
          </w:tcPr>
          <w:p w:rsidR="00041ADF" w:rsidRPr="006A4AB2" w:rsidRDefault="00041ADF" w:rsidP="00AF65FE">
            <w:pPr>
              <w:jc w:val="right"/>
              <w:rPr>
                <w:rFonts w:ascii="Arial" w:hAnsi="Arial" w:cs="Arial"/>
                <w:sz w:val="20"/>
                <w:szCs w:val="20"/>
              </w:rPr>
            </w:pPr>
            <w:r w:rsidRPr="006A4AB2">
              <w:rPr>
                <w:rFonts w:ascii="Arial" w:hAnsi="Arial" w:cs="Arial"/>
                <w:b/>
                <w:sz w:val="20"/>
                <w:szCs w:val="20"/>
              </w:rPr>
              <w:t>5.087.628</w:t>
            </w:r>
          </w:p>
        </w:tc>
      </w:tr>
    </w:tbl>
    <w:p w:rsidR="00041ADF" w:rsidRPr="006A4AB2" w:rsidRDefault="00041ADF" w:rsidP="00041ADF">
      <w:pPr>
        <w:tabs>
          <w:tab w:val="left" w:pos="426"/>
        </w:tabs>
        <w:rPr>
          <w:rFonts w:ascii="Arial" w:hAnsi="Arial" w:cs="Arial"/>
          <w:sz w:val="20"/>
          <w:szCs w:val="20"/>
        </w:rPr>
        <w:sectPr w:rsidR="00041ADF" w:rsidRPr="006A4AB2">
          <w:pgSz w:w="11906" w:h="16838"/>
          <w:pgMar w:top="1134" w:right="1134" w:bottom="1134" w:left="1134" w:header="720" w:footer="720" w:gutter="0"/>
          <w:cols w:space="720"/>
        </w:sectPr>
      </w:pPr>
    </w:p>
    <w:tbl>
      <w:tblPr>
        <w:tblW w:w="16878" w:type="dxa"/>
        <w:tblInd w:w="-709" w:type="dxa"/>
        <w:tblLayout w:type="fixed"/>
        <w:tblCellMar>
          <w:left w:w="10" w:type="dxa"/>
          <w:right w:w="10" w:type="dxa"/>
        </w:tblCellMar>
        <w:tblLook w:val="0000" w:firstRow="0" w:lastRow="0" w:firstColumn="0" w:lastColumn="0" w:noHBand="0" w:noVBand="0"/>
      </w:tblPr>
      <w:tblGrid>
        <w:gridCol w:w="400"/>
        <w:gridCol w:w="40"/>
        <w:gridCol w:w="1040"/>
        <w:gridCol w:w="560"/>
        <w:gridCol w:w="799"/>
        <w:gridCol w:w="3480"/>
        <w:gridCol w:w="441"/>
        <w:gridCol w:w="1600"/>
        <w:gridCol w:w="1119"/>
        <w:gridCol w:w="480"/>
        <w:gridCol w:w="781"/>
        <w:gridCol w:w="819"/>
        <w:gridCol w:w="1600"/>
        <w:gridCol w:w="481"/>
        <w:gridCol w:w="1119"/>
        <w:gridCol w:w="920"/>
        <w:gridCol w:w="760"/>
        <w:gridCol w:w="40"/>
        <w:gridCol w:w="399"/>
      </w:tblGrid>
      <w:tr w:rsidR="00041ADF" w:rsidRPr="006A4AB2" w:rsidTr="00041ADF">
        <w:trPr>
          <w:trHeight w:hRule="exact" w:val="4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1080" w:type="dxa"/>
            <w:gridSpan w:val="2"/>
            <w:vMerge w:val="restart"/>
            <w:shd w:val="clear" w:color="auto" w:fill="auto"/>
            <w:tcMar>
              <w:left w:w="0" w:type="dxa"/>
              <w:right w:w="0" w:type="dxa"/>
            </w:tcMar>
          </w:tcPr>
          <w:p w:rsidR="00041ADF" w:rsidRPr="006A4AB2" w:rsidRDefault="006A4AB2">
            <w:pPr>
              <w:rPr>
                <w:rFonts w:ascii="Arial" w:hAnsi="Arial" w:cs="Arial"/>
                <w:sz w:val="20"/>
                <w:szCs w:val="20"/>
              </w:rPr>
            </w:pPr>
            <w:r w:rsidRPr="006A4AB2">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2.95pt;height:52.95pt;z-index:251659264;mso-wrap-distance-left:0;mso-wrap-distance-right:0;mso-position-horizontal:left;mso-position-horizontal-relative:text;mso-position-vertical-relative:line" filled="t">
                  <v:fill opacity="0" color2="black"/>
                  <v:imagedata r:id="rId6" o:title=""/>
                </v:shape>
              </w:pict>
            </w:r>
          </w:p>
        </w:tc>
        <w:tc>
          <w:tcPr>
            <w:tcW w:w="7999" w:type="dxa"/>
            <w:gridSpan w:val="6"/>
            <w:shd w:val="clear" w:color="auto" w:fill="auto"/>
            <w:tcMar>
              <w:left w:w="200" w:type="dxa"/>
              <w:right w:w="0" w:type="dxa"/>
            </w:tcMar>
            <w:vAlign w:val="center"/>
          </w:tcPr>
          <w:p w:rsidR="00041ADF" w:rsidRPr="006A4AB2" w:rsidRDefault="00041ADF">
            <w:pPr>
              <w:rPr>
                <w:rFonts w:ascii="Arial" w:hAnsi="Arial" w:cs="Arial"/>
                <w:sz w:val="20"/>
                <w:szCs w:val="20"/>
              </w:rPr>
            </w:pPr>
            <w:r w:rsidRPr="006A4AB2">
              <w:rPr>
                <w:rFonts w:ascii="Arial" w:eastAsia="Arial" w:hAnsi="Arial" w:cs="Arial"/>
                <w:b/>
                <w:sz w:val="20"/>
                <w:szCs w:val="20"/>
              </w:rPr>
              <w:t>Ministério do Planejamento e Orçamento</w:t>
            </w: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6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041ADF" w:rsidRPr="006A4AB2" w:rsidRDefault="00041ADF">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041ADF" w:rsidRPr="006A4AB2" w:rsidRDefault="00041ADF">
            <w:pPr>
              <w:rPr>
                <w:rFonts w:ascii="Arial" w:hAnsi="Arial" w:cs="Arial"/>
                <w:sz w:val="20"/>
                <w:szCs w:val="20"/>
              </w:rPr>
            </w:pPr>
            <w:r w:rsidRPr="006A4AB2">
              <w:rPr>
                <w:rFonts w:ascii="Arial" w:eastAsia="Arial" w:hAnsi="Arial" w:cs="Arial"/>
                <w:sz w:val="20"/>
                <w:szCs w:val="20"/>
              </w:rPr>
              <w:t>SIOP - Alterações Orçamentárias</w:t>
            </w:r>
          </w:p>
        </w:tc>
        <w:tc>
          <w:tcPr>
            <w:tcW w:w="7000" w:type="dxa"/>
            <w:gridSpan w:val="9"/>
            <w:shd w:val="clear" w:color="auto" w:fill="auto"/>
            <w:tcMar>
              <w:left w:w="0" w:type="dxa"/>
              <w:right w:w="0" w:type="dxa"/>
            </w:tcMar>
            <w:vAlign w:val="center"/>
          </w:tcPr>
          <w:p w:rsidR="00041ADF" w:rsidRPr="006A4AB2" w:rsidRDefault="00041ADF">
            <w:pPr>
              <w:jc w:val="right"/>
              <w:rPr>
                <w:rFonts w:ascii="Arial" w:hAnsi="Arial" w:cs="Arial"/>
                <w:sz w:val="20"/>
                <w:szCs w:val="20"/>
              </w:rPr>
            </w:pPr>
            <w:r w:rsidRPr="006A4AB2">
              <w:rPr>
                <w:rFonts w:ascii="Arial" w:eastAsia="Arial" w:hAnsi="Arial" w:cs="Arial"/>
                <w:b/>
                <w:sz w:val="20"/>
                <w:szCs w:val="20"/>
              </w:rPr>
              <w:t>Exercício: 2023</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4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041ADF" w:rsidRPr="006A4AB2" w:rsidRDefault="00041ADF">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041ADF" w:rsidRPr="006A4AB2" w:rsidRDefault="00041ADF">
            <w:pPr>
              <w:rPr>
                <w:rFonts w:ascii="Arial" w:hAnsi="Arial" w:cs="Arial"/>
                <w:sz w:val="20"/>
                <w:szCs w:val="20"/>
              </w:rPr>
            </w:pPr>
            <w:r w:rsidRPr="006A4AB2">
              <w:rPr>
                <w:rFonts w:ascii="Arial" w:eastAsia="Arial" w:hAnsi="Arial" w:cs="Arial"/>
                <w:b/>
                <w:sz w:val="20"/>
                <w:szCs w:val="20"/>
              </w:rPr>
              <w:t>RELATÓRIO DEMONSTRATIVO DOS DESVIOS</w:t>
            </w: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14999" w:type="dxa"/>
            <w:gridSpan w:val="15"/>
            <w:shd w:val="clear" w:color="auto" w:fill="auto"/>
            <w:tcMar>
              <w:left w:w="200" w:type="dxa"/>
              <w:right w:w="0" w:type="dxa"/>
            </w:tcMar>
            <w:vAlign w:val="center"/>
          </w:tcPr>
          <w:p w:rsidR="00041ADF" w:rsidRPr="006A4AB2" w:rsidRDefault="00041ADF">
            <w:pPr>
              <w:rPr>
                <w:rFonts w:ascii="Arial" w:hAnsi="Arial" w:cs="Arial"/>
                <w:sz w:val="20"/>
                <w:szCs w:val="20"/>
              </w:rPr>
            </w:pPr>
            <w:r w:rsidRPr="006A4AB2">
              <w:rPr>
                <w:rFonts w:ascii="Arial" w:eastAsia="Arial" w:hAnsi="Arial" w:cs="Arial"/>
                <w:sz w:val="20"/>
                <w:szCs w:val="20"/>
              </w:rPr>
              <w:t>(Art.52, §18, da Lei nº 14.436, de 9 de agosto de 2022)</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1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8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w:hAnsi="Arial" w:cs="Arial"/>
                <w:b/>
                <w:sz w:val="20"/>
                <w:szCs w:val="20"/>
              </w:rPr>
              <w:t>R$ 1,00</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4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2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2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4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6360" w:type="dxa"/>
            <w:gridSpan w:val="6"/>
            <w:shd w:val="clear" w:color="auto" w:fill="auto"/>
            <w:tcMar>
              <w:left w:w="0" w:type="dxa"/>
              <w:right w:w="0" w:type="dxa"/>
            </w:tcMar>
            <w:vAlign w:val="bottom"/>
          </w:tcPr>
          <w:p w:rsidR="00041ADF" w:rsidRPr="006A4AB2" w:rsidRDefault="00041ADF">
            <w:pPr>
              <w:rPr>
                <w:rFonts w:ascii="Arial" w:hAnsi="Arial" w:cs="Arial"/>
                <w:sz w:val="20"/>
                <w:szCs w:val="20"/>
              </w:rPr>
            </w:pPr>
            <w:r w:rsidRPr="006A4AB2">
              <w:rPr>
                <w:rFonts w:ascii="Arial" w:eastAsia="Arial Narrow" w:hAnsi="Arial" w:cs="Arial"/>
                <w:b/>
                <w:sz w:val="20"/>
                <w:szCs w:val="20"/>
              </w:rPr>
              <w:t>Programação</w:t>
            </w:r>
          </w:p>
        </w:tc>
        <w:tc>
          <w:tcPr>
            <w:tcW w:w="1600" w:type="dxa"/>
            <w:shd w:val="clear" w:color="auto" w:fill="auto"/>
            <w:tcMar>
              <w:left w:w="0" w:type="dxa"/>
              <w:right w:w="0" w:type="dxa"/>
            </w:tcMar>
            <w:vAlign w:val="bottom"/>
          </w:tcPr>
          <w:p w:rsidR="00041ADF" w:rsidRPr="006A4AB2" w:rsidRDefault="00041ADF">
            <w:pPr>
              <w:jc w:val="right"/>
              <w:rPr>
                <w:rFonts w:ascii="Arial" w:hAnsi="Arial" w:cs="Arial"/>
                <w:sz w:val="20"/>
                <w:szCs w:val="20"/>
              </w:rPr>
            </w:pPr>
            <w:r w:rsidRPr="006A4AB2">
              <w:rPr>
                <w:rFonts w:ascii="Arial" w:eastAsia="Arial Narrow" w:hAnsi="Arial" w:cs="Arial"/>
                <w:b/>
                <w:sz w:val="20"/>
                <w:szCs w:val="20"/>
              </w:rPr>
              <w:t>LOA</w:t>
            </w:r>
            <w:r w:rsidRPr="006A4AB2">
              <w:rPr>
                <w:rFonts w:ascii="Arial" w:eastAsia="Arial Narrow" w:hAnsi="Arial" w:cs="Arial"/>
                <w:b/>
                <w:sz w:val="20"/>
                <w:szCs w:val="20"/>
              </w:rPr>
              <w:br/>
              <w:t>(A)</w:t>
            </w:r>
          </w:p>
        </w:tc>
        <w:tc>
          <w:tcPr>
            <w:tcW w:w="1599" w:type="dxa"/>
            <w:gridSpan w:val="2"/>
            <w:shd w:val="clear" w:color="auto" w:fill="auto"/>
            <w:tcMar>
              <w:left w:w="0" w:type="dxa"/>
              <w:right w:w="0" w:type="dxa"/>
            </w:tcMar>
            <w:vAlign w:val="bottom"/>
          </w:tcPr>
          <w:p w:rsidR="00041ADF" w:rsidRPr="006A4AB2" w:rsidRDefault="00041ADF">
            <w:pPr>
              <w:jc w:val="right"/>
              <w:rPr>
                <w:rFonts w:ascii="Arial" w:hAnsi="Arial" w:cs="Arial"/>
                <w:sz w:val="20"/>
                <w:szCs w:val="20"/>
              </w:rPr>
            </w:pPr>
            <w:r w:rsidRPr="006A4AB2">
              <w:rPr>
                <w:rFonts w:ascii="Arial" w:eastAsia="Arial Narrow" w:hAnsi="Arial" w:cs="Arial"/>
                <w:b/>
                <w:sz w:val="20"/>
                <w:szCs w:val="20"/>
              </w:rPr>
              <w:t>Dotação</w:t>
            </w:r>
            <w:r w:rsidRPr="006A4AB2">
              <w:rPr>
                <w:rFonts w:ascii="Arial" w:eastAsia="Arial Narrow" w:hAnsi="Arial" w:cs="Arial"/>
                <w:b/>
                <w:sz w:val="20"/>
                <w:szCs w:val="20"/>
              </w:rPr>
              <w:br/>
              <w:t>Atual (B)</w:t>
            </w:r>
          </w:p>
        </w:tc>
        <w:tc>
          <w:tcPr>
            <w:tcW w:w="1600" w:type="dxa"/>
            <w:gridSpan w:val="2"/>
            <w:shd w:val="clear" w:color="auto" w:fill="auto"/>
            <w:tcMar>
              <w:left w:w="0" w:type="dxa"/>
              <w:right w:w="0" w:type="dxa"/>
            </w:tcMar>
            <w:vAlign w:val="bottom"/>
          </w:tcPr>
          <w:p w:rsidR="00041ADF" w:rsidRPr="006A4AB2" w:rsidRDefault="00041ADF">
            <w:pPr>
              <w:jc w:val="right"/>
              <w:rPr>
                <w:rFonts w:ascii="Arial" w:hAnsi="Arial" w:cs="Arial"/>
                <w:sz w:val="20"/>
                <w:szCs w:val="20"/>
              </w:rPr>
            </w:pPr>
            <w:r w:rsidRPr="006A4AB2">
              <w:rPr>
                <w:rFonts w:ascii="Arial" w:eastAsia="Arial Narrow" w:hAnsi="Arial" w:cs="Arial"/>
                <w:b/>
                <w:sz w:val="20"/>
                <w:szCs w:val="20"/>
              </w:rPr>
              <w:t>Créditos em</w:t>
            </w:r>
            <w:r w:rsidRPr="006A4AB2">
              <w:rPr>
                <w:rFonts w:ascii="Arial" w:eastAsia="Arial Narrow" w:hAnsi="Arial" w:cs="Arial"/>
                <w:b/>
                <w:sz w:val="20"/>
                <w:szCs w:val="20"/>
              </w:rPr>
              <w:br/>
              <w:t>Tramitação (C)</w:t>
            </w:r>
          </w:p>
        </w:tc>
        <w:tc>
          <w:tcPr>
            <w:tcW w:w="1600" w:type="dxa"/>
            <w:shd w:val="clear" w:color="auto" w:fill="auto"/>
            <w:tcMar>
              <w:left w:w="0" w:type="dxa"/>
              <w:right w:w="0" w:type="dxa"/>
            </w:tcMar>
            <w:vAlign w:val="bottom"/>
          </w:tcPr>
          <w:p w:rsidR="00041ADF" w:rsidRPr="006A4AB2" w:rsidRDefault="00041ADF">
            <w:pPr>
              <w:jc w:val="right"/>
              <w:rPr>
                <w:rFonts w:ascii="Arial" w:hAnsi="Arial" w:cs="Arial"/>
                <w:sz w:val="20"/>
                <w:szCs w:val="20"/>
              </w:rPr>
            </w:pPr>
            <w:r w:rsidRPr="006A4AB2">
              <w:rPr>
                <w:rFonts w:ascii="Arial" w:eastAsia="Arial Narrow" w:hAnsi="Arial" w:cs="Arial"/>
                <w:b/>
                <w:sz w:val="20"/>
                <w:szCs w:val="20"/>
              </w:rPr>
              <w:t>Valor deste</w:t>
            </w:r>
            <w:r w:rsidRPr="006A4AB2">
              <w:rPr>
                <w:rFonts w:ascii="Arial" w:eastAsia="Arial Narrow" w:hAnsi="Arial" w:cs="Arial"/>
                <w:b/>
                <w:sz w:val="20"/>
                <w:szCs w:val="20"/>
              </w:rPr>
              <w:br/>
              <w:t>Crédito (D)</w:t>
            </w:r>
          </w:p>
        </w:tc>
        <w:tc>
          <w:tcPr>
            <w:tcW w:w="1600" w:type="dxa"/>
            <w:gridSpan w:val="2"/>
            <w:shd w:val="clear" w:color="auto" w:fill="auto"/>
            <w:tcMar>
              <w:left w:w="0" w:type="dxa"/>
              <w:right w:w="0" w:type="dxa"/>
            </w:tcMar>
            <w:vAlign w:val="bottom"/>
          </w:tcPr>
          <w:p w:rsidR="00041ADF" w:rsidRPr="006A4AB2" w:rsidRDefault="00041ADF">
            <w:pPr>
              <w:jc w:val="right"/>
              <w:rPr>
                <w:rFonts w:ascii="Arial" w:hAnsi="Arial" w:cs="Arial"/>
                <w:sz w:val="20"/>
                <w:szCs w:val="20"/>
              </w:rPr>
            </w:pPr>
            <w:r w:rsidRPr="006A4AB2">
              <w:rPr>
                <w:rFonts w:ascii="Arial" w:eastAsia="Arial Narrow" w:hAnsi="Arial" w:cs="Arial"/>
                <w:b/>
                <w:sz w:val="20"/>
                <w:szCs w:val="20"/>
              </w:rPr>
              <w:t>Dotação Resultante</w:t>
            </w:r>
            <w:r w:rsidRPr="006A4AB2">
              <w:rPr>
                <w:rFonts w:ascii="Arial" w:eastAsia="Arial Narrow" w:hAnsi="Arial" w:cs="Arial"/>
                <w:b/>
                <w:sz w:val="20"/>
                <w:szCs w:val="20"/>
              </w:rPr>
              <w:br/>
              <w:t>(E) = B + C + D</w:t>
            </w:r>
          </w:p>
        </w:tc>
        <w:tc>
          <w:tcPr>
            <w:tcW w:w="1720" w:type="dxa"/>
            <w:gridSpan w:val="3"/>
            <w:shd w:val="clear" w:color="auto" w:fill="auto"/>
            <w:tcMar>
              <w:left w:w="0" w:type="dxa"/>
              <w:right w:w="0" w:type="dxa"/>
            </w:tcMar>
            <w:vAlign w:val="bottom"/>
          </w:tcPr>
          <w:p w:rsidR="00041ADF" w:rsidRPr="006A4AB2" w:rsidRDefault="00041ADF">
            <w:pPr>
              <w:jc w:val="right"/>
              <w:rPr>
                <w:rFonts w:ascii="Arial" w:hAnsi="Arial" w:cs="Arial"/>
                <w:sz w:val="20"/>
                <w:szCs w:val="20"/>
              </w:rPr>
            </w:pPr>
            <w:r w:rsidRPr="006A4AB2">
              <w:rPr>
                <w:rFonts w:ascii="Arial" w:eastAsia="Arial Narrow" w:hAnsi="Arial" w:cs="Arial"/>
                <w:b/>
                <w:sz w:val="20"/>
                <w:szCs w:val="20"/>
              </w:rPr>
              <w:t>Desvio em Relação à</w:t>
            </w:r>
            <w:r w:rsidRPr="006A4AB2">
              <w:rPr>
                <w:rFonts w:ascii="Arial" w:eastAsia="Arial Narrow" w:hAnsi="Arial" w:cs="Arial"/>
                <w:b/>
                <w:sz w:val="20"/>
                <w:szCs w:val="20"/>
              </w:rPr>
              <w:br/>
              <w:t>LOA (F) = (E - A) / A</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2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2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4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6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041ADF" w:rsidRPr="006A4AB2" w:rsidRDefault="00041ADF">
            <w:pPr>
              <w:rPr>
                <w:rFonts w:ascii="Arial" w:hAnsi="Arial" w:cs="Arial"/>
                <w:sz w:val="20"/>
                <w:szCs w:val="20"/>
              </w:rPr>
            </w:pPr>
            <w:r w:rsidRPr="006A4AB2">
              <w:rPr>
                <w:rFonts w:ascii="Arial" w:eastAsia="Arial Narrow" w:hAnsi="Arial" w:cs="Arial"/>
                <w:sz w:val="20"/>
                <w:szCs w:val="20"/>
              </w:rPr>
              <w:t>10.12101.02.122.0033.12RS.5317 - Construção do Edifício-Sede da Justiça Federal em Diamantino- MT - No Município de Diamantino - MT</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3.000.000</w:t>
            </w:r>
          </w:p>
        </w:tc>
        <w:tc>
          <w:tcPr>
            <w:tcW w:w="1599"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3.000.000</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-600.000</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-903.079</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1.496.921</w:t>
            </w:r>
          </w:p>
        </w:tc>
        <w:tc>
          <w:tcPr>
            <w:tcW w:w="1720" w:type="dxa"/>
            <w:gridSpan w:val="3"/>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-50,10 %</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041ADF" w:rsidRPr="006A4AB2" w:rsidRDefault="00041ADF">
            <w:pPr>
              <w:rPr>
                <w:rFonts w:ascii="Arial" w:hAnsi="Arial" w:cs="Arial"/>
                <w:sz w:val="20"/>
                <w:szCs w:val="20"/>
              </w:rPr>
            </w:pPr>
            <w:r w:rsidRPr="006A4AB2">
              <w:rPr>
                <w:rFonts w:ascii="Arial" w:eastAsia="Arial Narrow" w:hAnsi="Arial" w:cs="Arial"/>
                <w:sz w:val="20"/>
                <w:szCs w:val="20"/>
              </w:rPr>
              <w:t>10.15126.02.122.0033.4256.0001 - Apreciação de Causas na Justiça do Trabalho - Nacional</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868.134.212</w:t>
            </w:r>
          </w:p>
        </w:tc>
        <w:tc>
          <w:tcPr>
            <w:tcW w:w="1599"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597.123.058</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-39.130.329</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-1.568.816</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556.423.913</w:t>
            </w:r>
          </w:p>
        </w:tc>
        <w:tc>
          <w:tcPr>
            <w:tcW w:w="1720" w:type="dxa"/>
            <w:gridSpan w:val="3"/>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-35,91 %</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6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041ADF" w:rsidRPr="006A4AB2" w:rsidRDefault="00041ADF">
            <w:pPr>
              <w:rPr>
                <w:rFonts w:ascii="Arial" w:hAnsi="Arial" w:cs="Arial"/>
                <w:sz w:val="20"/>
                <w:szCs w:val="20"/>
              </w:rPr>
            </w:pPr>
            <w:r w:rsidRPr="006A4AB2">
              <w:rPr>
                <w:rFonts w:ascii="Arial" w:eastAsia="Arial Narrow" w:hAnsi="Arial" w:cs="Arial"/>
                <w:sz w:val="20"/>
                <w:szCs w:val="20"/>
              </w:rPr>
              <w:t>10.15111.02.061.0033.4224.6018 - Assistência Jurídica a Pessoas Carentes - Na 10ª Região da Justiça do Trabalho - DF, TO</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2.500.000</w:t>
            </w:r>
          </w:p>
        </w:tc>
        <w:tc>
          <w:tcPr>
            <w:tcW w:w="1599"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2.000.000</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0</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-200.000</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1.800.000</w:t>
            </w:r>
          </w:p>
        </w:tc>
        <w:tc>
          <w:tcPr>
            <w:tcW w:w="1720" w:type="dxa"/>
            <w:gridSpan w:val="3"/>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-28,00 %</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36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041ADF" w:rsidRPr="006A4AB2" w:rsidRDefault="00041ADF">
            <w:pPr>
              <w:rPr>
                <w:rFonts w:ascii="Arial" w:hAnsi="Arial" w:cs="Arial"/>
                <w:sz w:val="20"/>
                <w:szCs w:val="20"/>
              </w:rPr>
            </w:pPr>
            <w:r w:rsidRPr="006A4AB2">
              <w:rPr>
                <w:rFonts w:ascii="Arial" w:eastAsia="Arial Narrow" w:hAnsi="Arial" w:cs="Arial"/>
                <w:sz w:val="20"/>
                <w:szCs w:val="20"/>
              </w:rPr>
              <w:t>10.34101.03.062.0031.4264.0001 - Defesa do Interesse Público no Processo Judiciário - Ministério Público Federal - Nacional</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917.614.195</w:t>
            </w:r>
          </w:p>
        </w:tc>
        <w:tc>
          <w:tcPr>
            <w:tcW w:w="1599"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715.551.926</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-7.000.000</w:t>
            </w:r>
          </w:p>
        </w:tc>
        <w:tc>
          <w:tcPr>
            <w:tcW w:w="1600" w:type="dxa"/>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-1.385.000</w:t>
            </w:r>
          </w:p>
        </w:tc>
        <w:tc>
          <w:tcPr>
            <w:tcW w:w="1600" w:type="dxa"/>
            <w:gridSpan w:val="2"/>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707.166.926</w:t>
            </w:r>
          </w:p>
        </w:tc>
        <w:tc>
          <w:tcPr>
            <w:tcW w:w="1720" w:type="dxa"/>
            <w:gridSpan w:val="3"/>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-22,93 %</w:t>
            </w: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596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2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6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2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040" w:type="dxa"/>
            <w:shd w:val="clear" w:color="auto" w:fill="auto"/>
          </w:tcPr>
          <w:p w:rsidR="00041ADF" w:rsidRPr="006A4AB2" w:rsidRDefault="00041ADF">
            <w:pPr>
              <w:pStyle w:val="EMPTYCELLSTYLE"/>
              <w:widowControl w:val="0"/>
              <w:rPr>
                <w:rFonts w:ascii="Arial" w:hAnsi="Arial" w:cs="Arial"/>
                <w:sz w:val="20"/>
              </w:rPr>
            </w:pPr>
          </w:p>
        </w:tc>
        <w:tc>
          <w:tcPr>
            <w:tcW w:w="560" w:type="dxa"/>
            <w:shd w:val="clear" w:color="auto" w:fill="auto"/>
          </w:tcPr>
          <w:p w:rsidR="00041ADF" w:rsidRPr="006A4AB2" w:rsidRDefault="00041ADF">
            <w:pPr>
              <w:pStyle w:val="EMPTYCELLSTYLE"/>
              <w:widowControl w:val="0"/>
              <w:rPr>
                <w:rFonts w:ascii="Arial" w:hAnsi="Arial" w:cs="Arial"/>
                <w:sz w:val="20"/>
              </w:rPr>
            </w:pPr>
          </w:p>
        </w:tc>
        <w:tc>
          <w:tcPr>
            <w:tcW w:w="799" w:type="dxa"/>
            <w:shd w:val="clear" w:color="auto" w:fill="auto"/>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21" w:type="dxa"/>
            <w:gridSpan w:val="5"/>
            <w:vMerge w:val="restart"/>
            <w:shd w:val="clear" w:color="auto" w:fill="auto"/>
            <w:tcMar>
              <w:left w:w="0" w:type="dxa"/>
              <w:right w:w="0" w:type="dxa"/>
            </w:tcMar>
          </w:tcPr>
          <w:p w:rsidR="00041ADF" w:rsidRPr="006A4AB2" w:rsidRDefault="00041ADF">
            <w:pPr>
              <w:jc w:val="center"/>
              <w:rPr>
                <w:rFonts w:ascii="Arial" w:hAnsi="Arial" w:cs="Arial"/>
                <w:sz w:val="20"/>
                <w:szCs w:val="20"/>
              </w:rPr>
            </w:pPr>
            <w:r w:rsidRPr="006A4AB2">
              <w:rPr>
                <w:rFonts w:ascii="Arial" w:hAnsi="Arial" w:cs="Arial"/>
                <w:sz w:val="20"/>
                <w:szCs w:val="20"/>
                <w:lang w:val="en-US"/>
              </w:rPr>
              <w:t>SIOP - http://www.siop.planejamento.gov.br</w:t>
            </w:r>
          </w:p>
        </w:tc>
        <w:tc>
          <w:tcPr>
            <w:tcW w:w="819" w:type="dxa"/>
            <w:shd w:val="clear" w:color="auto" w:fill="auto"/>
          </w:tcPr>
          <w:p w:rsidR="00041ADF" w:rsidRPr="006A4AB2" w:rsidRDefault="00041ADF">
            <w:pPr>
              <w:pStyle w:val="EMPTYCELLSTYLE"/>
              <w:widowControl w:val="0"/>
              <w:rPr>
                <w:rFonts w:ascii="Arial" w:hAnsi="Arial" w:cs="Arial"/>
                <w:sz w:val="20"/>
                <w:lang w:val="en-US"/>
              </w:rPr>
            </w:pPr>
          </w:p>
        </w:tc>
        <w:tc>
          <w:tcPr>
            <w:tcW w:w="1600" w:type="dxa"/>
            <w:shd w:val="clear" w:color="auto" w:fill="auto"/>
          </w:tcPr>
          <w:p w:rsidR="00041ADF" w:rsidRPr="006A4AB2" w:rsidRDefault="00041ADF">
            <w:pPr>
              <w:pStyle w:val="EMPTYCELLSTYLE"/>
              <w:widowControl w:val="0"/>
              <w:rPr>
                <w:rFonts w:ascii="Arial" w:hAnsi="Arial" w:cs="Arial"/>
                <w:sz w:val="20"/>
                <w:lang w:val="en-US"/>
              </w:rPr>
            </w:pPr>
          </w:p>
        </w:tc>
        <w:tc>
          <w:tcPr>
            <w:tcW w:w="481" w:type="dxa"/>
            <w:shd w:val="clear" w:color="auto" w:fill="auto"/>
          </w:tcPr>
          <w:p w:rsidR="00041ADF" w:rsidRPr="006A4AB2" w:rsidRDefault="00041ADF">
            <w:pPr>
              <w:pStyle w:val="EMPTYCELLSTYLE"/>
              <w:widowControl w:val="0"/>
              <w:rPr>
                <w:rFonts w:ascii="Arial" w:hAnsi="Arial" w:cs="Arial"/>
                <w:sz w:val="20"/>
                <w:lang w:val="en-US"/>
              </w:rPr>
            </w:pPr>
          </w:p>
        </w:tc>
        <w:tc>
          <w:tcPr>
            <w:tcW w:w="2799" w:type="dxa"/>
            <w:gridSpan w:val="3"/>
            <w:vMerge w:val="restart"/>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hAnsi="Arial" w:cs="Arial"/>
                <w:sz w:val="20"/>
                <w:szCs w:val="20"/>
              </w:rPr>
              <w:t>02/10/2023 09:49</w:t>
            </w: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20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041ADF" w:rsidRPr="006A4AB2" w:rsidRDefault="00041ADF">
            <w:pPr>
              <w:jc w:val="right"/>
              <w:rPr>
                <w:rFonts w:ascii="Arial" w:hAnsi="Arial" w:cs="Arial"/>
                <w:sz w:val="20"/>
                <w:szCs w:val="20"/>
              </w:rPr>
            </w:pPr>
            <w:r w:rsidRPr="006A4AB2">
              <w:rPr>
                <w:rFonts w:ascii="Arial" w:eastAsia="Arial Narrow" w:hAnsi="Arial" w:cs="Arial"/>
                <w:sz w:val="20"/>
                <w:szCs w:val="20"/>
              </w:rPr>
              <w:t>Página 1 de</w:t>
            </w:r>
          </w:p>
        </w:tc>
        <w:tc>
          <w:tcPr>
            <w:tcW w:w="799" w:type="dxa"/>
            <w:vMerge w:val="restart"/>
            <w:shd w:val="clear" w:color="auto" w:fill="auto"/>
            <w:tcMar>
              <w:left w:w="0" w:type="dxa"/>
              <w:right w:w="0" w:type="dxa"/>
            </w:tcMar>
          </w:tcPr>
          <w:p w:rsidR="00041ADF" w:rsidRPr="006A4AB2" w:rsidRDefault="00041ADF">
            <w:pPr>
              <w:rPr>
                <w:rFonts w:ascii="Arial" w:hAnsi="Arial" w:cs="Arial"/>
                <w:sz w:val="20"/>
                <w:szCs w:val="20"/>
              </w:rPr>
            </w:pPr>
            <w:r w:rsidRPr="006A4AB2">
              <w:rPr>
                <w:rFonts w:ascii="Arial" w:eastAsia="Arial Narrow" w:hAnsi="Arial" w:cs="Arial"/>
                <w:sz w:val="20"/>
                <w:szCs w:val="20"/>
              </w:rPr>
              <w:t xml:space="preserve"> 1</w:t>
            </w: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21" w:type="dxa"/>
            <w:gridSpan w:val="5"/>
            <w:vMerge/>
            <w:shd w:val="clear" w:color="auto" w:fill="auto"/>
            <w:tcMar>
              <w:left w:w="0" w:type="dxa"/>
              <w:right w:w="0" w:type="dxa"/>
            </w:tcMar>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tr w:rsidR="00041ADF" w:rsidRPr="006A4AB2" w:rsidTr="00041ADF">
        <w:trPr>
          <w:trHeight w:hRule="exact" w:val="40"/>
        </w:trPr>
        <w:tc>
          <w:tcPr>
            <w:tcW w:w="40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041ADF" w:rsidRPr="006A4AB2" w:rsidRDefault="00041ADF">
            <w:pPr>
              <w:pStyle w:val="EMPTYCELLSTYLE"/>
              <w:widowControl w:val="0"/>
              <w:rPr>
                <w:rFonts w:ascii="Arial" w:hAnsi="Arial" w:cs="Arial"/>
                <w:sz w:val="20"/>
              </w:rPr>
            </w:pPr>
          </w:p>
        </w:tc>
        <w:tc>
          <w:tcPr>
            <w:tcW w:w="799" w:type="dxa"/>
            <w:vMerge/>
            <w:shd w:val="clear" w:color="auto" w:fill="auto"/>
            <w:tcMar>
              <w:left w:w="0" w:type="dxa"/>
              <w:right w:w="0" w:type="dxa"/>
            </w:tcMar>
          </w:tcPr>
          <w:p w:rsidR="00041ADF" w:rsidRPr="006A4AB2" w:rsidRDefault="00041ADF">
            <w:pPr>
              <w:pStyle w:val="EMPTYCELLSTYLE"/>
              <w:widowControl w:val="0"/>
              <w:rPr>
                <w:rFonts w:ascii="Arial" w:hAnsi="Arial" w:cs="Arial"/>
                <w:sz w:val="20"/>
              </w:rPr>
            </w:pPr>
          </w:p>
        </w:tc>
        <w:tc>
          <w:tcPr>
            <w:tcW w:w="3480" w:type="dxa"/>
            <w:shd w:val="clear" w:color="auto" w:fill="auto"/>
          </w:tcPr>
          <w:p w:rsidR="00041ADF" w:rsidRPr="006A4AB2" w:rsidRDefault="00041ADF">
            <w:pPr>
              <w:pStyle w:val="EMPTYCELLSTYLE"/>
              <w:widowControl w:val="0"/>
              <w:rPr>
                <w:rFonts w:ascii="Arial" w:hAnsi="Arial" w:cs="Arial"/>
                <w:sz w:val="20"/>
              </w:rPr>
            </w:pPr>
          </w:p>
        </w:tc>
        <w:tc>
          <w:tcPr>
            <w:tcW w:w="441"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480" w:type="dxa"/>
            <w:shd w:val="clear" w:color="auto" w:fill="auto"/>
          </w:tcPr>
          <w:p w:rsidR="00041ADF" w:rsidRPr="006A4AB2" w:rsidRDefault="00041ADF">
            <w:pPr>
              <w:pStyle w:val="EMPTYCELLSTYLE"/>
              <w:widowControl w:val="0"/>
              <w:rPr>
                <w:rFonts w:ascii="Arial" w:hAnsi="Arial" w:cs="Arial"/>
                <w:sz w:val="20"/>
              </w:rPr>
            </w:pPr>
          </w:p>
        </w:tc>
        <w:tc>
          <w:tcPr>
            <w:tcW w:w="781" w:type="dxa"/>
            <w:shd w:val="clear" w:color="auto" w:fill="auto"/>
          </w:tcPr>
          <w:p w:rsidR="00041ADF" w:rsidRPr="006A4AB2" w:rsidRDefault="00041ADF">
            <w:pPr>
              <w:pStyle w:val="EMPTYCELLSTYLE"/>
              <w:widowControl w:val="0"/>
              <w:rPr>
                <w:rFonts w:ascii="Arial" w:hAnsi="Arial" w:cs="Arial"/>
                <w:sz w:val="20"/>
              </w:rPr>
            </w:pPr>
          </w:p>
        </w:tc>
        <w:tc>
          <w:tcPr>
            <w:tcW w:w="819" w:type="dxa"/>
            <w:shd w:val="clear" w:color="auto" w:fill="auto"/>
          </w:tcPr>
          <w:p w:rsidR="00041ADF" w:rsidRPr="006A4AB2" w:rsidRDefault="00041ADF">
            <w:pPr>
              <w:pStyle w:val="EMPTYCELLSTYLE"/>
              <w:widowControl w:val="0"/>
              <w:rPr>
                <w:rFonts w:ascii="Arial" w:hAnsi="Arial" w:cs="Arial"/>
                <w:sz w:val="20"/>
              </w:rPr>
            </w:pPr>
          </w:p>
        </w:tc>
        <w:tc>
          <w:tcPr>
            <w:tcW w:w="1600" w:type="dxa"/>
            <w:shd w:val="clear" w:color="auto" w:fill="auto"/>
          </w:tcPr>
          <w:p w:rsidR="00041ADF" w:rsidRPr="006A4AB2" w:rsidRDefault="00041ADF">
            <w:pPr>
              <w:pStyle w:val="EMPTYCELLSTYLE"/>
              <w:widowControl w:val="0"/>
              <w:rPr>
                <w:rFonts w:ascii="Arial" w:hAnsi="Arial" w:cs="Arial"/>
                <w:sz w:val="20"/>
              </w:rPr>
            </w:pPr>
          </w:p>
        </w:tc>
        <w:tc>
          <w:tcPr>
            <w:tcW w:w="481" w:type="dxa"/>
            <w:shd w:val="clear" w:color="auto" w:fill="auto"/>
          </w:tcPr>
          <w:p w:rsidR="00041ADF" w:rsidRPr="006A4AB2" w:rsidRDefault="00041ADF">
            <w:pPr>
              <w:pStyle w:val="EMPTYCELLSTYLE"/>
              <w:widowControl w:val="0"/>
              <w:rPr>
                <w:rFonts w:ascii="Arial" w:hAnsi="Arial" w:cs="Arial"/>
                <w:sz w:val="20"/>
              </w:rPr>
            </w:pPr>
          </w:p>
        </w:tc>
        <w:tc>
          <w:tcPr>
            <w:tcW w:w="1119" w:type="dxa"/>
            <w:shd w:val="clear" w:color="auto" w:fill="auto"/>
          </w:tcPr>
          <w:p w:rsidR="00041ADF" w:rsidRPr="006A4AB2" w:rsidRDefault="00041ADF">
            <w:pPr>
              <w:pStyle w:val="EMPTYCELLSTYLE"/>
              <w:widowControl w:val="0"/>
              <w:rPr>
                <w:rFonts w:ascii="Arial" w:hAnsi="Arial" w:cs="Arial"/>
                <w:sz w:val="20"/>
              </w:rPr>
            </w:pPr>
          </w:p>
        </w:tc>
        <w:tc>
          <w:tcPr>
            <w:tcW w:w="920" w:type="dxa"/>
            <w:shd w:val="clear" w:color="auto" w:fill="auto"/>
          </w:tcPr>
          <w:p w:rsidR="00041ADF" w:rsidRPr="006A4AB2" w:rsidRDefault="00041ADF">
            <w:pPr>
              <w:pStyle w:val="EMPTYCELLSTYLE"/>
              <w:widowControl w:val="0"/>
              <w:rPr>
                <w:rFonts w:ascii="Arial" w:hAnsi="Arial" w:cs="Arial"/>
                <w:sz w:val="20"/>
              </w:rPr>
            </w:pPr>
          </w:p>
        </w:tc>
        <w:tc>
          <w:tcPr>
            <w:tcW w:w="760" w:type="dxa"/>
            <w:shd w:val="clear" w:color="auto" w:fill="auto"/>
          </w:tcPr>
          <w:p w:rsidR="00041ADF" w:rsidRPr="006A4AB2" w:rsidRDefault="00041ADF">
            <w:pPr>
              <w:pStyle w:val="EMPTYCELLSTYLE"/>
              <w:widowControl w:val="0"/>
              <w:rPr>
                <w:rFonts w:ascii="Arial" w:hAnsi="Arial" w:cs="Arial"/>
                <w:sz w:val="20"/>
              </w:rPr>
            </w:pPr>
          </w:p>
        </w:tc>
        <w:tc>
          <w:tcPr>
            <w:tcW w:w="40" w:type="dxa"/>
            <w:shd w:val="clear" w:color="auto" w:fill="auto"/>
          </w:tcPr>
          <w:p w:rsidR="00041ADF" w:rsidRPr="006A4AB2" w:rsidRDefault="00041ADF">
            <w:pPr>
              <w:pStyle w:val="EMPTYCELLSTYLE"/>
              <w:widowControl w:val="0"/>
              <w:rPr>
                <w:rFonts w:ascii="Arial" w:hAnsi="Arial" w:cs="Arial"/>
                <w:sz w:val="20"/>
              </w:rPr>
            </w:pPr>
          </w:p>
        </w:tc>
        <w:tc>
          <w:tcPr>
            <w:tcW w:w="399" w:type="dxa"/>
            <w:shd w:val="clear" w:color="auto" w:fill="auto"/>
          </w:tcPr>
          <w:p w:rsidR="00041ADF" w:rsidRPr="006A4AB2" w:rsidRDefault="00041ADF">
            <w:pPr>
              <w:pStyle w:val="EMPTYCELLSTYLE"/>
              <w:widowControl w:val="0"/>
              <w:rPr>
                <w:rFonts w:ascii="Arial" w:hAnsi="Arial" w:cs="Arial"/>
                <w:sz w:val="20"/>
              </w:rPr>
            </w:pPr>
          </w:p>
        </w:tc>
      </w:tr>
      <w:bookmarkEnd w:id="0"/>
    </w:tbl>
    <w:p w:rsidR="00731E79" w:rsidRPr="006A4AB2" w:rsidRDefault="00731E79" w:rsidP="00041ADF">
      <w:pPr>
        <w:rPr>
          <w:rFonts w:ascii="Arial" w:hAnsi="Arial" w:cs="Arial"/>
          <w:sz w:val="20"/>
          <w:szCs w:val="20"/>
        </w:rPr>
      </w:pPr>
    </w:p>
    <w:sectPr w:rsidR="00731E79" w:rsidRPr="006A4AB2" w:rsidSect="00041ADF">
      <w:pgSz w:w="16838" w:h="11906" w:orient="landscape"/>
      <w:pgMar w:top="720" w:right="720" w:bottom="42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3D" w:rsidRDefault="00041ADF">
      <w:r>
        <w:separator/>
      </w:r>
    </w:p>
  </w:endnote>
  <w:endnote w:type="continuationSeparator" w:id="0">
    <w:p w:rsidR="00F31F3D" w:rsidRDefault="0004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3D" w:rsidRDefault="00041ADF">
      <w:r>
        <w:rPr>
          <w:color w:val="000000"/>
        </w:rPr>
        <w:separator/>
      </w:r>
    </w:p>
  </w:footnote>
  <w:footnote w:type="continuationSeparator" w:id="0">
    <w:p w:rsidR="00F31F3D" w:rsidRDefault="00041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79"/>
    <w:rsid w:val="00041ADF"/>
    <w:rsid w:val="00073E61"/>
    <w:rsid w:val="006A4AB2"/>
    <w:rsid w:val="00731E79"/>
    <w:rsid w:val="00F31F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6C412F3-56A4-4580-B6F6-0172761B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041ADF"/>
    <w:pPr>
      <w:widowControl/>
      <w:suppressAutoHyphens/>
      <w:autoSpaceDN/>
      <w:textAlignment w:val="auto"/>
    </w:pPr>
    <w:rPr>
      <w:rFonts w:eastAsia="Times New Roman" w:cs="Times New Roman"/>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5821</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 Teixeira Botelho</dc:creator>
  <cp:lastModifiedBy>Edvaldo Luiz da Silva</cp:lastModifiedBy>
  <cp:revision>2</cp:revision>
  <dcterms:created xsi:type="dcterms:W3CDTF">2023-10-16T13:18:00Z</dcterms:created>
  <dcterms:modified xsi:type="dcterms:W3CDTF">2023-10-16T13:18:00Z</dcterms:modified>
</cp:coreProperties>
</file>